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4" w:rsidRPr="00B77C12" w:rsidRDefault="00E94274" w:rsidP="00FE262E">
      <w:pPr>
        <w:spacing w:after="120"/>
        <w:jc w:val="center"/>
        <w:rPr>
          <w:rFonts w:asciiTheme="minorHAnsi" w:hAnsiTheme="minorHAnsi"/>
          <w:b/>
          <w:sz w:val="22"/>
        </w:rPr>
      </w:pPr>
      <w:r w:rsidRPr="00B77C12">
        <w:rPr>
          <w:rFonts w:asciiTheme="minorHAnsi" w:hAnsiTheme="minorHAnsi"/>
          <w:b/>
          <w:sz w:val="22"/>
        </w:rPr>
        <w:t>VCS Strategic Forum</w:t>
      </w:r>
    </w:p>
    <w:p w:rsidR="00E94274" w:rsidRPr="00B77C12" w:rsidRDefault="00E94274" w:rsidP="00FE262E">
      <w:pPr>
        <w:spacing w:after="120"/>
        <w:jc w:val="center"/>
        <w:rPr>
          <w:rFonts w:asciiTheme="minorHAnsi" w:hAnsiTheme="minorHAnsi"/>
          <w:b/>
          <w:sz w:val="22"/>
        </w:rPr>
      </w:pPr>
      <w:r w:rsidRPr="00B77C12">
        <w:rPr>
          <w:rFonts w:asciiTheme="minorHAnsi" w:hAnsiTheme="minorHAnsi"/>
          <w:b/>
          <w:sz w:val="22"/>
        </w:rPr>
        <w:t>29</w:t>
      </w:r>
      <w:r w:rsidRPr="00B77C12">
        <w:rPr>
          <w:rFonts w:asciiTheme="minorHAnsi" w:hAnsiTheme="minorHAnsi"/>
          <w:b/>
          <w:sz w:val="22"/>
          <w:vertAlign w:val="superscript"/>
        </w:rPr>
        <w:t>th</w:t>
      </w:r>
      <w:r w:rsidRPr="00B77C12">
        <w:rPr>
          <w:rFonts w:asciiTheme="minorHAnsi" w:hAnsiTheme="minorHAnsi"/>
          <w:b/>
          <w:sz w:val="22"/>
        </w:rPr>
        <w:t xml:space="preserve"> June 2015</w:t>
      </w:r>
    </w:p>
    <w:p w:rsidR="00E94274" w:rsidRPr="00B77C12" w:rsidRDefault="00B7445D" w:rsidP="00FE262E">
      <w:pPr>
        <w:spacing w:after="120"/>
        <w:jc w:val="center"/>
        <w:rPr>
          <w:rFonts w:asciiTheme="minorHAnsi" w:hAnsiTheme="minorHAnsi"/>
          <w:b/>
          <w:sz w:val="22"/>
        </w:rPr>
      </w:pPr>
      <w:r w:rsidRPr="00B7445D">
        <w:rPr>
          <w:rFonts w:asciiTheme="minorHAnsi" w:hAnsiTheme="minorHAnsi"/>
          <w:noProof/>
          <w:color w:val="0066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3BD86" wp14:editId="460A9EAD">
                <wp:simplePos x="0" y="0"/>
                <wp:positionH relativeFrom="column">
                  <wp:posOffset>5348177</wp:posOffset>
                </wp:positionH>
                <wp:positionV relativeFrom="paragraph">
                  <wp:posOffset>130278</wp:posOffset>
                </wp:positionV>
                <wp:extent cx="754380" cy="999461"/>
                <wp:effectExtent l="0" t="0" r="266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26" w:rsidRPr="00B7445D" w:rsidRDefault="000A0B26" w:rsidP="000A0B2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445D">
                              <w:rPr>
                                <w:rFonts w:asciiTheme="minorHAnsi" w:hAnsiTheme="minorHAnsi"/>
                                <w:sz w:val="22"/>
                              </w:rPr>
                              <w:t>Key</w:t>
                            </w:r>
                          </w:p>
                          <w:p w:rsidR="000A0B26" w:rsidRPr="00B7445D" w:rsidRDefault="000A0B26" w:rsidP="000A0B2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0A0B26" w:rsidRPr="00B7445D" w:rsidRDefault="000A0B26" w:rsidP="000A0B26">
                            <w:pPr>
                              <w:rPr>
                                <w:rFonts w:asciiTheme="minorHAnsi" w:hAnsiTheme="minorHAnsi"/>
                                <w:color w:val="006600"/>
                                <w:sz w:val="22"/>
                              </w:rPr>
                            </w:pPr>
                            <w:r w:rsidRPr="00B7445D">
                              <w:rPr>
                                <w:rFonts w:asciiTheme="minorHAnsi" w:hAnsiTheme="minorHAnsi"/>
                                <w:color w:val="006600"/>
                                <w:sz w:val="22"/>
                              </w:rPr>
                              <w:t>Table 1</w:t>
                            </w:r>
                          </w:p>
                          <w:p w:rsidR="000A0B26" w:rsidRPr="00B7445D" w:rsidRDefault="000A0B26" w:rsidP="000A0B26">
                            <w:pPr>
                              <w:rPr>
                                <w:rFonts w:asciiTheme="minorHAnsi" w:hAnsiTheme="minorHAnsi"/>
                                <w:color w:val="CC0000"/>
                                <w:sz w:val="22"/>
                              </w:rPr>
                            </w:pPr>
                            <w:r w:rsidRPr="00B7445D">
                              <w:rPr>
                                <w:rFonts w:asciiTheme="minorHAnsi" w:hAnsiTheme="minorHAnsi"/>
                                <w:color w:val="CC0000"/>
                                <w:sz w:val="22"/>
                              </w:rPr>
                              <w:t>Table 2</w:t>
                            </w:r>
                          </w:p>
                          <w:p w:rsidR="000A0B26" w:rsidRPr="00B7445D" w:rsidRDefault="000A0B26" w:rsidP="000A0B26">
                            <w:pPr>
                              <w:rPr>
                                <w:rFonts w:asciiTheme="minorHAnsi" w:hAnsiTheme="minorHAnsi"/>
                                <w:color w:val="0070C0"/>
                                <w:sz w:val="22"/>
                              </w:rPr>
                            </w:pPr>
                            <w:r w:rsidRPr="00B7445D">
                              <w:rPr>
                                <w:rFonts w:asciiTheme="minorHAnsi" w:hAnsiTheme="minorHAnsi"/>
                                <w:color w:val="0070C0"/>
                                <w:sz w:val="22"/>
                              </w:rPr>
                              <w:t>Table 3</w:t>
                            </w:r>
                          </w:p>
                          <w:p w:rsidR="000A0B26" w:rsidRDefault="000A0B26" w:rsidP="000A0B26">
                            <w:pPr>
                              <w:spacing w:after="120"/>
                              <w:rPr>
                                <w:color w:val="0070C0"/>
                              </w:rPr>
                            </w:pPr>
                          </w:p>
                          <w:p w:rsidR="000A0B26" w:rsidRDefault="000A0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1pt;margin-top:10.25pt;width:59.4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">
                <v:textbox>
                  <w:txbxContent>
                    <w:p w:rsidR="000A0B26" w:rsidRPr="00B7445D" w:rsidRDefault="000A0B26" w:rsidP="000A0B2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7445D">
                        <w:rPr>
                          <w:rFonts w:asciiTheme="minorHAnsi" w:hAnsiTheme="minorHAnsi"/>
                          <w:sz w:val="22"/>
                        </w:rPr>
                        <w:t>Key</w:t>
                      </w:r>
                    </w:p>
                    <w:p w:rsidR="000A0B26" w:rsidRPr="00B7445D" w:rsidRDefault="000A0B26" w:rsidP="000A0B2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A0B26" w:rsidRPr="00B7445D" w:rsidRDefault="000A0B26" w:rsidP="000A0B26">
                      <w:pPr>
                        <w:rPr>
                          <w:rFonts w:asciiTheme="minorHAnsi" w:hAnsiTheme="minorHAnsi"/>
                          <w:color w:val="006600"/>
                          <w:sz w:val="22"/>
                        </w:rPr>
                      </w:pPr>
                      <w:r w:rsidRPr="00B7445D">
                        <w:rPr>
                          <w:rFonts w:asciiTheme="minorHAnsi" w:hAnsiTheme="minorHAnsi"/>
                          <w:color w:val="006600"/>
                          <w:sz w:val="22"/>
                        </w:rPr>
                        <w:t>Table 1</w:t>
                      </w:r>
                    </w:p>
                    <w:p w:rsidR="000A0B26" w:rsidRPr="00B7445D" w:rsidRDefault="000A0B26" w:rsidP="000A0B26">
                      <w:pPr>
                        <w:rPr>
                          <w:rFonts w:asciiTheme="minorHAnsi" w:hAnsiTheme="minorHAnsi"/>
                          <w:color w:val="CC0000"/>
                          <w:sz w:val="22"/>
                        </w:rPr>
                      </w:pPr>
                      <w:r w:rsidRPr="00B7445D">
                        <w:rPr>
                          <w:rFonts w:asciiTheme="minorHAnsi" w:hAnsiTheme="minorHAnsi"/>
                          <w:color w:val="CC0000"/>
                          <w:sz w:val="22"/>
                        </w:rPr>
                        <w:t>Table 2</w:t>
                      </w:r>
                    </w:p>
                    <w:p w:rsidR="000A0B26" w:rsidRPr="00B7445D" w:rsidRDefault="000A0B26" w:rsidP="000A0B26">
                      <w:pPr>
                        <w:rPr>
                          <w:rFonts w:asciiTheme="minorHAnsi" w:hAnsiTheme="minorHAnsi"/>
                          <w:color w:val="0070C0"/>
                          <w:sz w:val="22"/>
                        </w:rPr>
                      </w:pPr>
                      <w:r w:rsidRPr="00B7445D">
                        <w:rPr>
                          <w:rFonts w:asciiTheme="minorHAnsi" w:hAnsiTheme="minorHAnsi"/>
                          <w:color w:val="0070C0"/>
                          <w:sz w:val="22"/>
                        </w:rPr>
                        <w:t>Table 3</w:t>
                      </w:r>
                    </w:p>
                    <w:p w:rsidR="000A0B26" w:rsidRDefault="000A0B26" w:rsidP="000A0B26">
                      <w:pPr>
                        <w:spacing w:after="120"/>
                        <w:rPr>
                          <w:color w:val="0070C0"/>
                        </w:rPr>
                      </w:pPr>
                    </w:p>
                    <w:p w:rsidR="000A0B26" w:rsidRDefault="000A0B26"/>
                  </w:txbxContent>
                </v:textbox>
              </v:shape>
            </w:pict>
          </mc:Fallback>
        </mc:AlternateContent>
      </w:r>
      <w:r w:rsidR="00E94274" w:rsidRPr="00B77C12">
        <w:rPr>
          <w:rFonts w:asciiTheme="minorHAnsi" w:hAnsiTheme="minorHAnsi"/>
          <w:b/>
          <w:sz w:val="22"/>
        </w:rPr>
        <w:t xml:space="preserve">Investment </w:t>
      </w:r>
      <w:r>
        <w:rPr>
          <w:rFonts w:asciiTheme="minorHAnsi" w:hAnsiTheme="minorHAnsi"/>
          <w:b/>
          <w:sz w:val="22"/>
        </w:rPr>
        <w:t>Programme Engagement discussion</w:t>
      </w:r>
    </w:p>
    <w:p w:rsidR="008577B9" w:rsidRPr="00B7445D" w:rsidRDefault="008577B9" w:rsidP="00FE262E">
      <w:pPr>
        <w:spacing w:after="120"/>
        <w:jc w:val="center"/>
        <w:rPr>
          <w:rFonts w:asciiTheme="minorHAnsi" w:hAnsiTheme="minorHAnsi"/>
          <w:b/>
          <w:sz w:val="22"/>
        </w:rPr>
      </w:pPr>
    </w:p>
    <w:p w:rsidR="000A0B26" w:rsidRPr="00B7445D" w:rsidRDefault="000A0B26" w:rsidP="000A0B26">
      <w:pPr>
        <w:spacing w:after="120"/>
        <w:ind w:left="720" w:hanging="720"/>
        <w:rPr>
          <w:rFonts w:asciiTheme="minorHAnsi" w:hAnsiTheme="minorHAnsi"/>
          <w:b/>
          <w:sz w:val="22"/>
        </w:rPr>
      </w:pPr>
      <w:r w:rsidRPr="00B7445D">
        <w:rPr>
          <w:rFonts w:asciiTheme="minorHAnsi" w:hAnsiTheme="minorHAnsi"/>
          <w:b/>
          <w:sz w:val="22"/>
        </w:rPr>
        <w:t>Questions</w:t>
      </w:r>
    </w:p>
    <w:p w:rsidR="000A0B26" w:rsidRPr="00B7445D" w:rsidRDefault="000A0B26" w:rsidP="000A0B26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rPr>
          <w:rFonts w:asciiTheme="minorHAnsi" w:hAnsiTheme="minorHAnsi"/>
          <w:sz w:val="22"/>
        </w:rPr>
      </w:pPr>
      <w:r w:rsidRPr="00B7445D">
        <w:rPr>
          <w:rFonts w:asciiTheme="minorHAnsi" w:hAnsiTheme="minorHAnsi"/>
          <w:sz w:val="22"/>
        </w:rPr>
        <w:t>What are the potential vulnerabilities for Camden residents from your perspective?</w:t>
      </w:r>
    </w:p>
    <w:p w:rsidR="000A0B26" w:rsidRPr="00B7445D" w:rsidRDefault="000A0B26" w:rsidP="000A0B26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rPr>
          <w:rFonts w:asciiTheme="minorHAnsi" w:hAnsiTheme="minorHAnsi"/>
          <w:sz w:val="22"/>
        </w:rPr>
      </w:pPr>
      <w:r w:rsidRPr="00B7445D">
        <w:rPr>
          <w:rFonts w:asciiTheme="minorHAnsi" w:hAnsiTheme="minorHAnsi"/>
          <w:sz w:val="22"/>
        </w:rPr>
        <w:t>How would you make rent relief equitable?</w:t>
      </w:r>
    </w:p>
    <w:p w:rsidR="000A0B26" w:rsidRPr="00B7445D" w:rsidRDefault="000A0B26" w:rsidP="000A0B26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rPr>
          <w:rFonts w:asciiTheme="minorHAnsi" w:hAnsiTheme="minorHAnsi"/>
          <w:sz w:val="22"/>
        </w:rPr>
      </w:pPr>
      <w:r w:rsidRPr="00B7445D">
        <w:rPr>
          <w:rFonts w:asciiTheme="minorHAnsi" w:hAnsiTheme="minorHAnsi"/>
          <w:sz w:val="22"/>
        </w:rPr>
        <w:t>Partnerships are going to be crucial in future; how can we make them equitable, transparent and impactful?</w:t>
      </w:r>
    </w:p>
    <w:p w:rsidR="008D59E0" w:rsidRPr="00B77C12" w:rsidRDefault="008D59E0" w:rsidP="00FE262E">
      <w:pPr>
        <w:spacing w:after="120"/>
        <w:rPr>
          <w:rFonts w:asciiTheme="minorHAnsi" w:hAnsiTheme="minorHAnsi"/>
          <w:color w:val="0070C0"/>
          <w:sz w:val="22"/>
        </w:rPr>
      </w:pPr>
    </w:p>
    <w:p w:rsidR="00F223D8" w:rsidRPr="00B77C12" w:rsidRDefault="00FE262E" w:rsidP="00F223D8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/>
          <w:b/>
          <w:sz w:val="22"/>
        </w:rPr>
      </w:pPr>
      <w:r w:rsidRPr="00B77C12">
        <w:rPr>
          <w:rFonts w:asciiTheme="minorHAnsi" w:hAnsiTheme="minorHAnsi"/>
          <w:b/>
          <w:sz w:val="22"/>
        </w:rPr>
        <w:t>What are the potential vulnerabilities for Camden residents from your perspective?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Reduction of services and changes in welfare impact th</w:t>
      </w:r>
      <w:r w:rsidR="008577B9" w:rsidRPr="00B77C12">
        <w:rPr>
          <w:rFonts w:asciiTheme="minorHAnsi" w:hAnsiTheme="minorHAnsi"/>
          <w:color w:val="006600"/>
          <w:sz w:val="22"/>
        </w:rPr>
        <w:t>ose</w:t>
      </w:r>
      <w:r w:rsidRPr="00B77C12">
        <w:rPr>
          <w:rFonts w:asciiTheme="minorHAnsi" w:hAnsiTheme="minorHAnsi"/>
          <w:color w:val="006600"/>
          <w:sz w:val="22"/>
        </w:rPr>
        <w:t xml:space="preserve"> most in need of services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What does Camden Plan say about needs?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Use new Commissioning Strategic Board to ensure VCS are involved in commissioning earlier.</w:t>
      </w:r>
    </w:p>
    <w:p w:rsidR="008577B9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 xml:space="preserve">Options seem devoid of understanding of needs – more </w:t>
      </w:r>
      <w:r w:rsidR="008577B9" w:rsidRPr="00B77C12">
        <w:rPr>
          <w:rFonts w:asciiTheme="minorHAnsi" w:hAnsiTheme="minorHAnsi"/>
          <w:color w:val="006600"/>
          <w:sz w:val="22"/>
        </w:rPr>
        <w:t>process driven.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Where is community participation? Is there a perceived hierarchy of needs?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 xml:space="preserve">Will the needs of the more marginalised be left out if </w:t>
      </w:r>
      <w:r w:rsidR="008577B9" w:rsidRPr="00B77C12">
        <w:rPr>
          <w:rFonts w:asciiTheme="minorHAnsi" w:hAnsiTheme="minorHAnsi"/>
          <w:color w:val="006600"/>
          <w:sz w:val="22"/>
        </w:rPr>
        <w:t xml:space="preserve">they are </w:t>
      </w:r>
      <w:r w:rsidRPr="00B77C12">
        <w:rPr>
          <w:rFonts w:asciiTheme="minorHAnsi" w:hAnsiTheme="minorHAnsi"/>
          <w:color w:val="006600"/>
          <w:sz w:val="22"/>
        </w:rPr>
        <w:t>not coming to anyone’s attention?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Welfare reforms = big impact. Resilience of individuals reduced due to overwhelming nature of problems which are multi-layered, access/information</w:t>
      </w:r>
      <w:r w:rsidR="008577B9" w:rsidRPr="00B77C12">
        <w:rPr>
          <w:rFonts w:asciiTheme="minorHAnsi" w:hAnsiTheme="minorHAnsi"/>
          <w:color w:val="006600"/>
          <w:sz w:val="22"/>
        </w:rPr>
        <w:t xml:space="preserve"> issues</w:t>
      </w:r>
      <w:r w:rsidRPr="00B77C12">
        <w:rPr>
          <w:rFonts w:asciiTheme="minorHAnsi" w:hAnsiTheme="minorHAnsi"/>
          <w:color w:val="006600"/>
          <w:sz w:val="22"/>
        </w:rPr>
        <w:t>. E.g. Elfrida led on partnership project working with families with complex needs but ending.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Hard to assess in Camden across the board as borough has extremes of wealth/poverty.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Can Camden make better use of its funding across the Council</w:t>
      </w:r>
      <w:r w:rsidR="008577B9" w:rsidRPr="00B77C12">
        <w:rPr>
          <w:rFonts w:asciiTheme="minorHAnsi" w:hAnsiTheme="minorHAnsi"/>
          <w:color w:val="006600"/>
          <w:sz w:val="22"/>
        </w:rPr>
        <w:t>?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No willingness to engage with VCS re complex/troubled families</w:t>
      </w:r>
    </w:p>
    <w:p w:rsidR="00F223D8" w:rsidRPr="00B77C12" w:rsidRDefault="00F223D8" w:rsidP="00F223D8">
      <w:pPr>
        <w:pStyle w:val="ListParagraph"/>
        <w:numPr>
          <w:ilvl w:val="0"/>
          <w:numId w:val="3"/>
        </w:numPr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LB Camden good to work with/innovative but since having to make cuts been a bit of a lockdown.</w:t>
      </w:r>
    </w:p>
    <w:p w:rsidR="00921DB7" w:rsidRPr="00B77C12" w:rsidRDefault="008D59E0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Direct payments failing –</w:t>
      </w:r>
      <w:r w:rsidR="008577B9" w:rsidRPr="00B77C12">
        <w:rPr>
          <w:rFonts w:asciiTheme="minorHAnsi" w:hAnsiTheme="minorHAnsi"/>
          <w:color w:val="CC0000"/>
          <w:sz w:val="22"/>
        </w:rPr>
        <w:t xml:space="preserve"> Personal assistant </w:t>
      </w:r>
      <w:r w:rsidRPr="00B77C12">
        <w:rPr>
          <w:rFonts w:asciiTheme="minorHAnsi" w:hAnsiTheme="minorHAnsi"/>
          <w:color w:val="CC0000"/>
          <w:sz w:val="22"/>
        </w:rPr>
        <w:t>problems, process to</w:t>
      </w:r>
      <w:r w:rsidR="008577B9" w:rsidRPr="00B77C12">
        <w:rPr>
          <w:rFonts w:asciiTheme="minorHAnsi" w:hAnsiTheme="minorHAnsi"/>
          <w:color w:val="CC0000"/>
          <w:sz w:val="22"/>
        </w:rPr>
        <w:t>o</w:t>
      </w:r>
      <w:r w:rsidRPr="00B77C12">
        <w:rPr>
          <w:rFonts w:asciiTheme="minorHAnsi" w:hAnsiTheme="minorHAnsi"/>
          <w:color w:val="CC0000"/>
          <w:sz w:val="22"/>
        </w:rPr>
        <w:t xml:space="preserve"> complicated, people need lots of support and handholding, end up reverting to statutory provision.</w:t>
      </w:r>
    </w:p>
    <w:p w:rsidR="008577B9" w:rsidRPr="00B77C12" w:rsidRDefault="008D59E0" w:rsidP="008577B9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Gap between Health and Social Care – questions around funding lead people to ricochet between the two</w:t>
      </w:r>
      <w:r w:rsidR="008577B9" w:rsidRPr="00B77C12">
        <w:rPr>
          <w:rFonts w:asciiTheme="minorHAnsi" w:hAnsiTheme="minorHAnsi"/>
          <w:color w:val="CC0000"/>
          <w:sz w:val="22"/>
        </w:rPr>
        <w:t xml:space="preserve"> - Hospital discharge – people returning home with no care package.</w:t>
      </w:r>
    </w:p>
    <w:p w:rsidR="008D59E0" w:rsidRPr="00B77C12" w:rsidRDefault="008D59E0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 xml:space="preserve">Independent living payments reduced as </w:t>
      </w:r>
      <w:r w:rsidR="008577B9" w:rsidRPr="00B77C12">
        <w:rPr>
          <w:rFonts w:asciiTheme="minorHAnsi" w:hAnsiTheme="minorHAnsi"/>
          <w:color w:val="CC0000"/>
          <w:sz w:val="22"/>
        </w:rPr>
        <w:t xml:space="preserve">they </w:t>
      </w:r>
      <w:r w:rsidRPr="00B77C12">
        <w:rPr>
          <w:rFonts w:asciiTheme="minorHAnsi" w:hAnsiTheme="minorHAnsi"/>
          <w:color w:val="CC0000"/>
          <w:sz w:val="22"/>
        </w:rPr>
        <w:t>move</w:t>
      </w:r>
      <w:r w:rsidR="008577B9" w:rsidRPr="00B77C12">
        <w:rPr>
          <w:rFonts w:asciiTheme="minorHAnsi" w:hAnsiTheme="minorHAnsi"/>
          <w:color w:val="CC0000"/>
          <w:sz w:val="22"/>
        </w:rPr>
        <w:t>d</w:t>
      </w:r>
      <w:r w:rsidRPr="00B77C12">
        <w:rPr>
          <w:rFonts w:asciiTheme="minorHAnsi" w:hAnsiTheme="minorHAnsi"/>
          <w:color w:val="CC0000"/>
          <w:sz w:val="22"/>
        </w:rPr>
        <w:t xml:space="preserve"> to local control</w:t>
      </w:r>
    </w:p>
    <w:p w:rsidR="008D59E0" w:rsidRPr="00B77C12" w:rsidRDefault="008D59E0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Increased advocacy and signposting needed and information sharing opportunities needed</w:t>
      </w:r>
    </w:p>
    <w:p w:rsidR="008D59E0" w:rsidRPr="00B77C12" w:rsidRDefault="008D59E0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All above health and social care issues for disabled people exacerbated by DISC closure.</w:t>
      </w:r>
    </w:p>
    <w:p w:rsidR="008D59E0" w:rsidRPr="00B77C12" w:rsidRDefault="008D59E0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Data –</w:t>
      </w:r>
      <w:r w:rsidR="00EA0E6E" w:rsidRPr="00B77C12">
        <w:rPr>
          <w:rFonts w:asciiTheme="minorHAnsi" w:hAnsiTheme="minorHAnsi"/>
          <w:color w:val="CC0000"/>
          <w:sz w:val="22"/>
        </w:rPr>
        <w:t xml:space="preserve"> broad statistics that statutory sector produce but expect VCS to go down to detail of individuals – harder to capture.</w:t>
      </w:r>
    </w:p>
    <w:p w:rsidR="00EA0E6E" w:rsidRPr="00B77C12" w:rsidRDefault="00EA0E6E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 xml:space="preserve">Risk </w:t>
      </w:r>
      <w:r w:rsidR="008577B9" w:rsidRPr="00B77C12">
        <w:rPr>
          <w:rFonts w:asciiTheme="minorHAnsi" w:hAnsiTheme="minorHAnsi"/>
          <w:color w:val="CC0000"/>
          <w:sz w:val="22"/>
        </w:rPr>
        <w:t>that</w:t>
      </w:r>
      <w:r w:rsidRPr="00B77C12">
        <w:rPr>
          <w:rFonts w:asciiTheme="minorHAnsi" w:hAnsiTheme="minorHAnsi"/>
          <w:color w:val="CC0000"/>
          <w:sz w:val="22"/>
        </w:rPr>
        <w:t xml:space="preserve"> cuts</w:t>
      </w:r>
      <w:r w:rsidR="008577B9" w:rsidRPr="00B77C12">
        <w:rPr>
          <w:rFonts w:asciiTheme="minorHAnsi" w:hAnsiTheme="minorHAnsi"/>
          <w:color w:val="CC0000"/>
          <w:sz w:val="22"/>
        </w:rPr>
        <w:t xml:space="preserve"> are</w:t>
      </w:r>
      <w:r w:rsidRPr="00B77C12">
        <w:rPr>
          <w:rFonts w:asciiTheme="minorHAnsi" w:hAnsiTheme="minorHAnsi"/>
          <w:color w:val="CC0000"/>
          <w:sz w:val="22"/>
        </w:rPr>
        <w:t xml:space="preserve"> made in isolation</w:t>
      </w:r>
    </w:p>
    <w:p w:rsidR="00EA0E6E" w:rsidRPr="00B77C12" w:rsidRDefault="00EA0E6E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 xml:space="preserve">Commissioning and social value </w:t>
      </w:r>
      <w:r w:rsidR="008577B9" w:rsidRPr="00B77C12">
        <w:rPr>
          <w:rFonts w:asciiTheme="minorHAnsi" w:hAnsiTheme="minorHAnsi"/>
          <w:color w:val="CC0000"/>
          <w:sz w:val="22"/>
        </w:rPr>
        <w:t xml:space="preserve">is important </w:t>
      </w:r>
      <w:r w:rsidRPr="00B77C12">
        <w:rPr>
          <w:rFonts w:asciiTheme="minorHAnsi" w:hAnsiTheme="minorHAnsi"/>
          <w:color w:val="CC0000"/>
          <w:sz w:val="22"/>
        </w:rPr>
        <w:t>but before that, residents are slipping through the gaps</w:t>
      </w:r>
      <w:r w:rsidR="008541D7">
        <w:rPr>
          <w:rFonts w:asciiTheme="minorHAnsi" w:hAnsiTheme="minorHAnsi"/>
          <w:color w:val="CC0000"/>
          <w:sz w:val="22"/>
        </w:rPr>
        <w:t xml:space="preserve">. </w:t>
      </w:r>
      <w:r w:rsidRPr="00B77C12">
        <w:rPr>
          <w:rFonts w:asciiTheme="minorHAnsi" w:hAnsiTheme="minorHAnsi"/>
          <w:color w:val="CC0000"/>
          <w:sz w:val="22"/>
        </w:rPr>
        <w:t xml:space="preserve">Conversations and relationships need to change. </w:t>
      </w:r>
    </w:p>
    <w:p w:rsidR="00EA0E6E" w:rsidRPr="00B77C12" w:rsidRDefault="00EA0E6E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How does the ASC forum feed into commissioning?</w:t>
      </w:r>
    </w:p>
    <w:p w:rsidR="00EA0E6E" w:rsidRPr="00B77C12" w:rsidRDefault="00EA0E6E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Housing and Benefits reform</w:t>
      </w:r>
    </w:p>
    <w:p w:rsidR="00480554" w:rsidRPr="00B77C12" w:rsidRDefault="00FE262E" w:rsidP="00F223D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People who are </w:t>
      </w:r>
      <w:r w:rsidR="0045427D" w:rsidRPr="00B77C12">
        <w:rPr>
          <w:rFonts w:asciiTheme="minorHAnsi" w:hAnsiTheme="minorHAnsi"/>
          <w:color w:val="0070C0"/>
          <w:sz w:val="22"/>
        </w:rPr>
        <w:t xml:space="preserve">currently </w:t>
      </w:r>
      <w:r w:rsidRPr="00B77C12">
        <w:rPr>
          <w:rFonts w:asciiTheme="minorHAnsi" w:hAnsiTheme="minorHAnsi"/>
          <w:color w:val="0070C0"/>
          <w:sz w:val="22"/>
        </w:rPr>
        <w:t xml:space="preserve">FACS eligible but as Social Care Act is </w:t>
      </w:r>
      <w:r w:rsidR="008577B9" w:rsidRPr="00B77C12">
        <w:rPr>
          <w:rFonts w:asciiTheme="minorHAnsi" w:hAnsiTheme="minorHAnsi"/>
          <w:color w:val="0070C0"/>
          <w:sz w:val="22"/>
        </w:rPr>
        <w:t>implemented are</w:t>
      </w:r>
      <w:r w:rsidR="0045427D" w:rsidRPr="00B77C12">
        <w:rPr>
          <w:rFonts w:asciiTheme="minorHAnsi" w:hAnsiTheme="minorHAnsi"/>
          <w:color w:val="0070C0"/>
          <w:sz w:val="22"/>
        </w:rPr>
        <w:t xml:space="preserve"> seen as m</w:t>
      </w:r>
      <w:r w:rsidRPr="00B77C12">
        <w:rPr>
          <w:rFonts w:asciiTheme="minorHAnsi" w:hAnsiTheme="minorHAnsi"/>
          <w:color w:val="0070C0"/>
          <w:sz w:val="22"/>
        </w:rPr>
        <w:t xml:space="preserve">ore </w:t>
      </w:r>
      <w:r w:rsidR="0054202D" w:rsidRPr="00B77C12">
        <w:rPr>
          <w:rFonts w:asciiTheme="minorHAnsi" w:hAnsiTheme="minorHAnsi"/>
          <w:color w:val="0070C0"/>
          <w:sz w:val="22"/>
        </w:rPr>
        <w:t xml:space="preserve">and </w:t>
      </w:r>
      <w:r w:rsidRPr="00B77C12">
        <w:rPr>
          <w:rFonts w:asciiTheme="minorHAnsi" w:hAnsiTheme="minorHAnsi"/>
          <w:color w:val="0070C0"/>
          <w:sz w:val="22"/>
        </w:rPr>
        <w:t xml:space="preserve">more </w:t>
      </w:r>
      <w:r w:rsidR="0045427D" w:rsidRPr="00B77C12">
        <w:rPr>
          <w:rFonts w:asciiTheme="minorHAnsi" w:hAnsiTheme="minorHAnsi"/>
          <w:color w:val="0070C0"/>
          <w:sz w:val="22"/>
        </w:rPr>
        <w:t>“</w:t>
      </w:r>
      <w:r w:rsidRPr="00B77C12">
        <w:rPr>
          <w:rFonts w:asciiTheme="minorHAnsi" w:hAnsiTheme="minorHAnsi"/>
          <w:color w:val="0070C0"/>
          <w:sz w:val="22"/>
        </w:rPr>
        <w:t>moderate</w:t>
      </w:r>
      <w:r w:rsidR="0045427D" w:rsidRPr="00B77C12">
        <w:rPr>
          <w:rFonts w:asciiTheme="minorHAnsi" w:hAnsiTheme="minorHAnsi"/>
          <w:color w:val="0070C0"/>
          <w:sz w:val="22"/>
        </w:rPr>
        <w:t xml:space="preserve">” </w:t>
      </w:r>
      <w:r w:rsidR="0054202D" w:rsidRPr="00B77C12">
        <w:rPr>
          <w:rFonts w:asciiTheme="minorHAnsi" w:hAnsiTheme="minorHAnsi"/>
          <w:color w:val="0070C0"/>
          <w:sz w:val="22"/>
        </w:rPr>
        <w:t>as Council funds reduce</w:t>
      </w:r>
      <w:r w:rsidR="003358B9" w:rsidRPr="00B77C12">
        <w:rPr>
          <w:rFonts w:asciiTheme="minorHAnsi" w:hAnsiTheme="minorHAnsi"/>
          <w:color w:val="0070C0"/>
          <w:sz w:val="22"/>
        </w:rPr>
        <w:t xml:space="preserve">. People with moderate needs will start using wider </w:t>
      </w:r>
      <w:proofErr w:type="gramStart"/>
      <w:r w:rsidR="003358B9" w:rsidRPr="00B77C12">
        <w:rPr>
          <w:rFonts w:asciiTheme="minorHAnsi" w:hAnsiTheme="minorHAnsi"/>
          <w:color w:val="0070C0"/>
          <w:sz w:val="22"/>
        </w:rPr>
        <w:t>VCS,</w:t>
      </w:r>
      <w:proofErr w:type="gramEnd"/>
      <w:r w:rsidR="003358B9" w:rsidRPr="00B77C12">
        <w:rPr>
          <w:rFonts w:asciiTheme="minorHAnsi" w:hAnsiTheme="minorHAnsi"/>
          <w:color w:val="0070C0"/>
          <w:sz w:val="22"/>
        </w:rPr>
        <w:t xml:space="preserve"> this</w:t>
      </w:r>
      <w:r w:rsidR="008541D7">
        <w:rPr>
          <w:rFonts w:asciiTheme="minorHAnsi" w:hAnsiTheme="minorHAnsi"/>
          <w:color w:val="0070C0"/>
          <w:sz w:val="22"/>
        </w:rPr>
        <w:t xml:space="preserve"> will put additional pressure</w:t>
      </w:r>
      <w:r w:rsidR="003358B9" w:rsidRPr="00B77C12">
        <w:rPr>
          <w:rFonts w:asciiTheme="minorHAnsi" w:hAnsiTheme="minorHAnsi"/>
          <w:color w:val="0070C0"/>
          <w:sz w:val="22"/>
        </w:rPr>
        <w:t xml:space="preserve"> on the staff in the sector. </w:t>
      </w:r>
      <w:r w:rsidR="0054202D" w:rsidRPr="00B77C12">
        <w:rPr>
          <w:rFonts w:asciiTheme="minorHAnsi" w:hAnsiTheme="minorHAnsi"/>
          <w:color w:val="0070C0"/>
          <w:sz w:val="22"/>
        </w:rPr>
        <w:t>.</w:t>
      </w:r>
    </w:p>
    <w:p w:rsidR="008541D7" w:rsidRDefault="0054202D" w:rsidP="008541D7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Universal services – keeping people heal</w:t>
      </w:r>
      <w:r w:rsidR="0045427D" w:rsidRPr="00B77C12">
        <w:rPr>
          <w:rFonts w:asciiTheme="minorHAnsi" w:hAnsiTheme="minorHAnsi"/>
          <w:color w:val="0070C0"/>
          <w:sz w:val="22"/>
        </w:rPr>
        <w:t>thy and active in the community,</w:t>
      </w:r>
      <w:r w:rsidRPr="00B77C12">
        <w:rPr>
          <w:rFonts w:asciiTheme="minorHAnsi" w:hAnsiTheme="minorHAnsi"/>
          <w:color w:val="0070C0"/>
          <w:sz w:val="22"/>
        </w:rPr>
        <w:t xml:space="preserve"> preventative service</w:t>
      </w:r>
      <w:r w:rsidR="003358B9" w:rsidRPr="00B77C12">
        <w:rPr>
          <w:rFonts w:asciiTheme="minorHAnsi" w:hAnsiTheme="minorHAnsi"/>
          <w:color w:val="0070C0"/>
          <w:sz w:val="22"/>
        </w:rPr>
        <w:t xml:space="preserve"> are useful, as preventative services are deprioritised consequences of this can be more people using A&amp;E instead  </w:t>
      </w:r>
    </w:p>
    <w:p w:rsidR="008541D7" w:rsidRDefault="0054202D" w:rsidP="008541D7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8541D7">
        <w:rPr>
          <w:rFonts w:asciiTheme="minorHAnsi" w:hAnsiTheme="minorHAnsi"/>
          <w:color w:val="0070C0"/>
          <w:sz w:val="22"/>
        </w:rPr>
        <w:t>How can money used by A+E/Health be used for preventative services?</w:t>
      </w:r>
    </w:p>
    <w:p w:rsidR="0054202D" w:rsidRPr="008541D7" w:rsidRDefault="0054202D" w:rsidP="008541D7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8541D7">
        <w:rPr>
          <w:rFonts w:asciiTheme="minorHAnsi" w:hAnsiTheme="minorHAnsi"/>
          <w:color w:val="0070C0"/>
          <w:sz w:val="22"/>
        </w:rPr>
        <w:lastRenderedPageBreak/>
        <w:t>Useful to have some data and information on how preventative services save money upstream</w:t>
      </w:r>
    </w:p>
    <w:p w:rsidR="0054202D" w:rsidRPr="00B77C12" w:rsidRDefault="003358B9" w:rsidP="0054202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N</w:t>
      </w:r>
      <w:r w:rsidR="0054202D" w:rsidRPr="00B77C12">
        <w:rPr>
          <w:rFonts w:asciiTheme="minorHAnsi" w:hAnsiTheme="minorHAnsi"/>
          <w:color w:val="0070C0"/>
          <w:sz w:val="22"/>
        </w:rPr>
        <w:t xml:space="preserve">eeds of homeless families </w:t>
      </w:r>
      <w:r w:rsidRPr="00B77C12">
        <w:rPr>
          <w:rFonts w:asciiTheme="minorHAnsi" w:hAnsiTheme="minorHAnsi"/>
          <w:color w:val="0070C0"/>
          <w:sz w:val="22"/>
        </w:rPr>
        <w:t xml:space="preserve">will increase </w:t>
      </w:r>
      <w:r w:rsidR="0054202D" w:rsidRPr="00B77C12">
        <w:rPr>
          <w:rFonts w:asciiTheme="minorHAnsi" w:hAnsiTheme="minorHAnsi"/>
          <w:color w:val="0070C0"/>
          <w:sz w:val="22"/>
        </w:rPr>
        <w:t xml:space="preserve">with </w:t>
      </w:r>
      <w:r w:rsidRPr="00B77C12">
        <w:rPr>
          <w:rFonts w:asciiTheme="minorHAnsi" w:hAnsiTheme="minorHAnsi"/>
          <w:color w:val="0070C0"/>
          <w:sz w:val="22"/>
        </w:rPr>
        <w:t xml:space="preserve">raise in </w:t>
      </w:r>
      <w:r w:rsidR="00480554" w:rsidRPr="00B77C12">
        <w:rPr>
          <w:rFonts w:asciiTheme="minorHAnsi" w:hAnsiTheme="minorHAnsi"/>
          <w:color w:val="0070C0"/>
          <w:sz w:val="22"/>
        </w:rPr>
        <w:t>rent,</w:t>
      </w:r>
      <w:r w:rsidR="0054202D" w:rsidRPr="00B77C12">
        <w:rPr>
          <w:rFonts w:asciiTheme="minorHAnsi" w:hAnsiTheme="minorHAnsi"/>
          <w:color w:val="0070C0"/>
          <w:sz w:val="22"/>
        </w:rPr>
        <w:t xml:space="preserve"> impact of welfare benefit cuts, homeless young people, </w:t>
      </w:r>
      <w:r w:rsidR="00480554" w:rsidRPr="00B77C12">
        <w:rPr>
          <w:rFonts w:asciiTheme="minorHAnsi" w:hAnsiTheme="minorHAnsi"/>
          <w:color w:val="0070C0"/>
          <w:sz w:val="22"/>
        </w:rPr>
        <w:t>and disabled</w:t>
      </w:r>
      <w:r w:rsidR="0054202D" w:rsidRPr="00B77C12">
        <w:rPr>
          <w:rFonts w:asciiTheme="minorHAnsi" w:hAnsiTheme="minorHAnsi"/>
          <w:color w:val="0070C0"/>
          <w:sz w:val="22"/>
        </w:rPr>
        <w:t xml:space="preserve"> people</w:t>
      </w:r>
      <w:r w:rsidRPr="00B77C12">
        <w:rPr>
          <w:rFonts w:asciiTheme="minorHAnsi" w:hAnsiTheme="minorHAnsi"/>
          <w:color w:val="0070C0"/>
          <w:sz w:val="22"/>
        </w:rPr>
        <w:t xml:space="preserve"> will also be affected</w:t>
      </w:r>
      <w:r w:rsidR="0054202D" w:rsidRPr="00B77C12">
        <w:rPr>
          <w:rFonts w:asciiTheme="minorHAnsi" w:hAnsiTheme="minorHAnsi"/>
          <w:color w:val="0070C0"/>
          <w:sz w:val="22"/>
        </w:rPr>
        <w:t>.</w:t>
      </w:r>
    </w:p>
    <w:p w:rsidR="0054202D" w:rsidRPr="00B77C12" w:rsidRDefault="0054202D" w:rsidP="0054202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Youth </w:t>
      </w:r>
      <w:r w:rsidR="00480554" w:rsidRPr="00B77C12">
        <w:rPr>
          <w:rFonts w:asciiTheme="minorHAnsi" w:hAnsiTheme="minorHAnsi"/>
          <w:color w:val="0070C0"/>
          <w:sz w:val="22"/>
        </w:rPr>
        <w:t>offending,</w:t>
      </w:r>
      <w:r w:rsidRPr="00B77C12">
        <w:rPr>
          <w:rFonts w:asciiTheme="minorHAnsi" w:hAnsiTheme="minorHAnsi"/>
          <w:color w:val="0070C0"/>
          <w:sz w:val="22"/>
        </w:rPr>
        <w:t xml:space="preserve"> high risk Camden offenders – impact </w:t>
      </w:r>
      <w:r w:rsidR="0045427D" w:rsidRPr="00B77C12">
        <w:rPr>
          <w:rFonts w:asciiTheme="minorHAnsi" w:hAnsiTheme="minorHAnsi"/>
          <w:color w:val="0070C0"/>
          <w:sz w:val="22"/>
        </w:rPr>
        <w:t>on community is high 5-20 years down the line. Impact of prioritising high risk cases</w:t>
      </w:r>
      <w:r w:rsidR="003358B9" w:rsidRPr="00B77C12">
        <w:rPr>
          <w:rFonts w:asciiTheme="minorHAnsi" w:hAnsiTheme="minorHAnsi"/>
          <w:color w:val="0070C0"/>
          <w:sz w:val="22"/>
        </w:rPr>
        <w:t xml:space="preserve"> will mean less work will be undertaken o</w:t>
      </w:r>
      <w:r w:rsidR="005543D6">
        <w:rPr>
          <w:rFonts w:asciiTheme="minorHAnsi" w:hAnsiTheme="minorHAnsi"/>
          <w:color w:val="0070C0"/>
          <w:sz w:val="22"/>
        </w:rPr>
        <w:t>n preventative work earlier on.</w:t>
      </w:r>
    </w:p>
    <w:p w:rsidR="0045427D" w:rsidRPr="00B77C12" w:rsidRDefault="003358B9" w:rsidP="0054202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In </w:t>
      </w:r>
      <w:r w:rsidR="0045427D" w:rsidRPr="00B77C12">
        <w:rPr>
          <w:rFonts w:asciiTheme="minorHAnsi" w:hAnsiTheme="minorHAnsi"/>
          <w:color w:val="0070C0"/>
          <w:sz w:val="22"/>
        </w:rPr>
        <w:t xml:space="preserve">BMER </w:t>
      </w:r>
      <w:r w:rsidRPr="00B77C12">
        <w:rPr>
          <w:rFonts w:asciiTheme="minorHAnsi" w:hAnsiTheme="minorHAnsi"/>
          <w:color w:val="0070C0"/>
          <w:sz w:val="22"/>
        </w:rPr>
        <w:t xml:space="preserve">Communities </w:t>
      </w:r>
      <w:r w:rsidR="0045427D" w:rsidRPr="00B77C12">
        <w:rPr>
          <w:rFonts w:asciiTheme="minorHAnsi" w:hAnsiTheme="minorHAnsi"/>
          <w:color w:val="0070C0"/>
          <w:sz w:val="22"/>
        </w:rPr>
        <w:t xml:space="preserve">– Concern around </w:t>
      </w:r>
      <w:r w:rsidR="00480554" w:rsidRPr="00B77C12">
        <w:rPr>
          <w:rFonts w:asciiTheme="minorHAnsi" w:hAnsiTheme="minorHAnsi"/>
          <w:color w:val="0070C0"/>
          <w:sz w:val="22"/>
        </w:rPr>
        <w:t xml:space="preserve">radicalisation of </w:t>
      </w:r>
      <w:r w:rsidR="0045427D" w:rsidRPr="00B77C12">
        <w:rPr>
          <w:rFonts w:asciiTheme="minorHAnsi" w:hAnsiTheme="minorHAnsi"/>
          <w:color w:val="0070C0"/>
          <w:sz w:val="22"/>
        </w:rPr>
        <w:t>young people</w:t>
      </w:r>
      <w:r w:rsidR="0016237B" w:rsidRPr="00B77C12">
        <w:rPr>
          <w:rFonts w:asciiTheme="minorHAnsi" w:hAnsiTheme="minorHAnsi"/>
          <w:color w:val="0070C0"/>
          <w:sz w:val="22"/>
        </w:rPr>
        <w:t xml:space="preserve"> and that this work to combat this is not being funded. That is not correct </w:t>
      </w:r>
      <w:r w:rsidRPr="00B77C12">
        <w:rPr>
          <w:rFonts w:asciiTheme="minorHAnsi" w:hAnsiTheme="minorHAnsi"/>
          <w:color w:val="0070C0"/>
          <w:sz w:val="22"/>
        </w:rPr>
        <w:t xml:space="preserve">there is a separate pot of money from Home Office </w:t>
      </w:r>
      <w:r w:rsidR="0016237B" w:rsidRPr="00B77C12">
        <w:rPr>
          <w:rFonts w:asciiTheme="minorHAnsi" w:hAnsiTheme="minorHAnsi"/>
          <w:color w:val="0070C0"/>
          <w:sz w:val="22"/>
        </w:rPr>
        <w:t xml:space="preserve">for this area and it will </w:t>
      </w:r>
      <w:r w:rsidR="008541D7">
        <w:rPr>
          <w:rFonts w:asciiTheme="minorHAnsi" w:hAnsiTheme="minorHAnsi"/>
          <w:color w:val="0070C0"/>
          <w:sz w:val="22"/>
        </w:rPr>
        <w:t>c</w:t>
      </w:r>
      <w:r w:rsidR="0045427D" w:rsidRPr="00B77C12">
        <w:rPr>
          <w:rFonts w:asciiTheme="minorHAnsi" w:hAnsiTheme="minorHAnsi"/>
          <w:color w:val="0070C0"/>
          <w:sz w:val="22"/>
        </w:rPr>
        <w:t>ontinue to be a high priority.</w:t>
      </w:r>
      <w:r w:rsidR="0016237B" w:rsidRPr="00B77C12">
        <w:rPr>
          <w:rFonts w:asciiTheme="minorHAnsi" w:hAnsiTheme="minorHAnsi"/>
          <w:color w:val="0070C0"/>
          <w:sz w:val="22"/>
        </w:rPr>
        <w:t xml:space="preserve"> </w:t>
      </w:r>
    </w:p>
    <w:p w:rsidR="0045427D" w:rsidRPr="00B77C12" w:rsidRDefault="0016237B" w:rsidP="0054202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There will be overall reduced capacity</w:t>
      </w:r>
      <w:r w:rsidR="0045427D" w:rsidRPr="00B77C12">
        <w:rPr>
          <w:rFonts w:asciiTheme="minorHAnsi" w:hAnsiTheme="minorHAnsi"/>
          <w:color w:val="0070C0"/>
          <w:sz w:val="22"/>
        </w:rPr>
        <w:t xml:space="preserve"> as work </w:t>
      </w:r>
      <w:r w:rsidRPr="00B77C12">
        <w:rPr>
          <w:rFonts w:asciiTheme="minorHAnsi" w:hAnsiTheme="minorHAnsi"/>
          <w:color w:val="0070C0"/>
          <w:sz w:val="22"/>
        </w:rPr>
        <w:t xml:space="preserve">will be </w:t>
      </w:r>
      <w:r w:rsidR="0045427D" w:rsidRPr="00B77C12">
        <w:rPr>
          <w:rFonts w:asciiTheme="minorHAnsi" w:hAnsiTheme="minorHAnsi"/>
          <w:color w:val="0070C0"/>
          <w:sz w:val="22"/>
        </w:rPr>
        <w:t>concentrated on complex and</w:t>
      </w:r>
      <w:r w:rsidR="00480554" w:rsidRPr="00B77C12">
        <w:rPr>
          <w:rFonts w:asciiTheme="minorHAnsi" w:hAnsiTheme="minorHAnsi"/>
          <w:color w:val="0070C0"/>
          <w:sz w:val="22"/>
        </w:rPr>
        <w:t xml:space="preserve"> </w:t>
      </w:r>
      <w:r w:rsidR="0045427D" w:rsidRPr="00B77C12">
        <w:rPr>
          <w:rFonts w:asciiTheme="minorHAnsi" w:hAnsiTheme="minorHAnsi"/>
          <w:color w:val="0070C0"/>
          <w:sz w:val="22"/>
        </w:rPr>
        <w:t>high need individual</w:t>
      </w:r>
      <w:r w:rsidR="00480554" w:rsidRPr="00B77C12">
        <w:rPr>
          <w:rFonts w:asciiTheme="minorHAnsi" w:hAnsiTheme="minorHAnsi"/>
          <w:color w:val="0070C0"/>
          <w:sz w:val="22"/>
        </w:rPr>
        <w:t>s</w:t>
      </w:r>
      <w:r w:rsidR="0045427D" w:rsidRPr="00B77C12">
        <w:rPr>
          <w:rFonts w:asciiTheme="minorHAnsi" w:hAnsiTheme="minorHAnsi"/>
          <w:color w:val="0070C0"/>
          <w:sz w:val="22"/>
        </w:rPr>
        <w:t xml:space="preserve"> – </w:t>
      </w:r>
      <w:r w:rsidR="008541D7">
        <w:rPr>
          <w:rFonts w:asciiTheme="minorHAnsi" w:hAnsiTheme="minorHAnsi"/>
          <w:color w:val="0070C0"/>
          <w:sz w:val="22"/>
        </w:rPr>
        <w:t>so VCS</w:t>
      </w:r>
      <w:r w:rsidRPr="00B77C12">
        <w:rPr>
          <w:rFonts w:asciiTheme="minorHAnsi" w:hAnsiTheme="minorHAnsi"/>
          <w:color w:val="0070C0"/>
          <w:sz w:val="22"/>
        </w:rPr>
        <w:t xml:space="preserve"> staff will be constantly </w:t>
      </w:r>
      <w:r w:rsidR="0045427D" w:rsidRPr="00B77C12">
        <w:rPr>
          <w:rFonts w:asciiTheme="minorHAnsi" w:hAnsiTheme="minorHAnsi"/>
          <w:color w:val="0070C0"/>
          <w:sz w:val="22"/>
        </w:rPr>
        <w:t>fire-fighting</w:t>
      </w:r>
      <w:r w:rsidRPr="00B77C12">
        <w:rPr>
          <w:rFonts w:asciiTheme="minorHAnsi" w:hAnsiTheme="minorHAnsi"/>
          <w:color w:val="0070C0"/>
          <w:sz w:val="22"/>
        </w:rPr>
        <w:t xml:space="preserve"> and there will be lack of time. </w:t>
      </w:r>
    </w:p>
    <w:p w:rsidR="0045427D" w:rsidRPr="00B77C12" w:rsidRDefault="0045427D" w:rsidP="0045427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Are we at risk of spreading our resources too thinly? How do we use our resources strategically?</w:t>
      </w:r>
    </w:p>
    <w:p w:rsidR="0045427D" w:rsidRPr="00B77C12" w:rsidRDefault="0045427D" w:rsidP="0045427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What information do </w:t>
      </w:r>
      <w:r w:rsidR="00480554" w:rsidRPr="00B77C12">
        <w:rPr>
          <w:rFonts w:asciiTheme="minorHAnsi" w:hAnsiTheme="minorHAnsi"/>
          <w:color w:val="0070C0"/>
          <w:sz w:val="22"/>
        </w:rPr>
        <w:t>we</w:t>
      </w:r>
      <w:r w:rsidRPr="00B77C12">
        <w:rPr>
          <w:rFonts w:asciiTheme="minorHAnsi" w:hAnsiTheme="minorHAnsi"/>
          <w:color w:val="0070C0"/>
          <w:sz w:val="22"/>
        </w:rPr>
        <w:t xml:space="preserve"> get from Council around needs?</w:t>
      </w:r>
    </w:p>
    <w:p w:rsidR="00E94274" w:rsidRPr="00B77C12" w:rsidRDefault="0045427D" w:rsidP="00FE262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Social care contracts </w:t>
      </w:r>
      <w:r w:rsidR="00480554" w:rsidRPr="00B77C12">
        <w:rPr>
          <w:rFonts w:asciiTheme="minorHAnsi" w:hAnsiTheme="minorHAnsi"/>
          <w:color w:val="0070C0"/>
          <w:sz w:val="22"/>
        </w:rPr>
        <w:t>and</w:t>
      </w:r>
      <w:r w:rsidRPr="00B77C12">
        <w:rPr>
          <w:rFonts w:asciiTheme="minorHAnsi" w:hAnsiTheme="minorHAnsi"/>
          <w:color w:val="0070C0"/>
          <w:sz w:val="22"/>
        </w:rPr>
        <w:t xml:space="preserve"> model of commissioning </w:t>
      </w:r>
      <w:r w:rsidR="003358B9" w:rsidRPr="00B77C12">
        <w:rPr>
          <w:rFonts w:asciiTheme="minorHAnsi" w:hAnsiTheme="minorHAnsi"/>
          <w:color w:val="0070C0"/>
          <w:sz w:val="22"/>
        </w:rPr>
        <w:t xml:space="preserve">favour </w:t>
      </w:r>
      <w:r w:rsidRPr="00B77C12">
        <w:rPr>
          <w:rFonts w:asciiTheme="minorHAnsi" w:hAnsiTheme="minorHAnsi"/>
          <w:color w:val="0070C0"/>
          <w:sz w:val="22"/>
        </w:rPr>
        <w:t>larger orgs</w:t>
      </w:r>
      <w:r w:rsidR="0016237B" w:rsidRPr="00B77C12">
        <w:rPr>
          <w:rFonts w:asciiTheme="minorHAnsi" w:hAnsiTheme="minorHAnsi"/>
          <w:color w:val="0070C0"/>
          <w:sz w:val="22"/>
        </w:rPr>
        <w:t xml:space="preserve"> who</w:t>
      </w:r>
      <w:r w:rsidRPr="00B77C12">
        <w:rPr>
          <w:rFonts w:asciiTheme="minorHAnsi" w:hAnsiTheme="minorHAnsi"/>
          <w:color w:val="0070C0"/>
          <w:sz w:val="22"/>
        </w:rPr>
        <w:t xml:space="preserve"> deliver for cheaper but smaller organisations can’t compete</w:t>
      </w:r>
      <w:r w:rsidR="003358B9" w:rsidRPr="00B77C12">
        <w:rPr>
          <w:rFonts w:asciiTheme="minorHAnsi" w:hAnsiTheme="minorHAnsi"/>
          <w:color w:val="0070C0"/>
          <w:sz w:val="22"/>
        </w:rPr>
        <w:t xml:space="preserve"> but they deliver to wider social value to local residents.</w:t>
      </w:r>
      <w:r w:rsidR="0016237B" w:rsidRPr="00B77C12">
        <w:rPr>
          <w:rFonts w:asciiTheme="minorHAnsi" w:hAnsiTheme="minorHAnsi"/>
          <w:color w:val="0070C0"/>
          <w:sz w:val="22"/>
        </w:rPr>
        <w:t xml:space="preserve"> Increasingly it is going to be import to ensure that social value and social capital are intrinsic part of </w:t>
      </w:r>
      <w:r w:rsidR="005543D6">
        <w:rPr>
          <w:rFonts w:asciiTheme="minorHAnsi" w:hAnsiTheme="minorHAnsi"/>
          <w:color w:val="0070C0"/>
          <w:sz w:val="22"/>
        </w:rPr>
        <w:t>all</w:t>
      </w:r>
      <w:r w:rsidR="0016237B" w:rsidRPr="00B77C12">
        <w:rPr>
          <w:rFonts w:asciiTheme="minorHAnsi" w:hAnsiTheme="minorHAnsi"/>
          <w:color w:val="0070C0"/>
          <w:sz w:val="22"/>
        </w:rPr>
        <w:t xml:space="preserve"> council </w:t>
      </w:r>
      <w:r w:rsidR="009F59EF" w:rsidRPr="00B77C12">
        <w:rPr>
          <w:rFonts w:asciiTheme="minorHAnsi" w:hAnsiTheme="minorHAnsi"/>
          <w:color w:val="0070C0"/>
          <w:sz w:val="22"/>
        </w:rPr>
        <w:t xml:space="preserve">and health </w:t>
      </w:r>
      <w:r w:rsidR="0016237B" w:rsidRPr="00B77C12">
        <w:rPr>
          <w:rFonts w:asciiTheme="minorHAnsi" w:hAnsiTheme="minorHAnsi"/>
          <w:color w:val="0070C0"/>
          <w:sz w:val="22"/>
        </w:rPr>
        <w:t xml:space="preserve">commissioning.  </w:t>
      </w:r>
    </w:p>
    <w:p w:rsidR="00480554" w:rsidRPr="00B77C12" w:rsidRDefault="00480554" w:rsidP="00FE262E">
      <w:pPr>
        <w:spacing w:after="120"/>
        <w:rPr>
          <w:rFonts w:asciiTheme="minorHAnsi" w:hAnsiTheme="minorHAnsi"/>
          <w:color w:val="0070C0"/>
          <w:sz w:val="22"/>
        </w:rPr>
      </w:pPr>
    </w:p>
    <w:p w:rsidR="00480554" w:rsidRPr="00B77C12" w:rsidRDefault="00480554" w:rsidP="0048055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rPr>
          <w:rFonts w:asciiTheme="minorHAnsi" w:hAnsiTheme="minorHAnsi"/>
          <w:b/>
          <w:sz w:val="22"/>
        </w:rPr>
      </w:pPr>
      <w:r w:rsidRPr="00B77C12">
        <w:rPr>
          <w:rFonts w:asciiTheme="minorHAnsi" w:hAnsiTheme="minorHAnsi"/>
          <w:b/>
          <w:sz w:val="22"/>
        </w:rPr>
        <w:t>How would you make rent relief equitable?</w:t>
      </w:r>
    </w:p>
    <w:p w:rsidR="00921DB7" w:rsidRPr="00B77C12" w:rsidRDefault="00921DB7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Unfair but vital to those community centres in receipt of rent relief.</w:t>
      </w:r>
    </w:p>
    <w:p w:rsidR="00921DB7" w:rsidRPr="00B77C12" w:rsidRDefault="00921DB7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Need an analysis – proportion of rent relief vs other funding</w:t>
      </w:r>
    </w:p>
    <w:p w:rsidR="00921DB7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Can’</w:t>
      </w:r>
      <w:r w:rsidR="00921DB7" w:rsidRPr="00B77C12">
        <w:rPr>
          <w:rFonts w:asciiTheme="minorHAnsi" w:hAnsiTheme="minorHAnsi"/>
          <w:color w:val="006600"/>
          <w:sz w:val="22"/>
        </w:rPr>
        <w:t>t withdraw rent relief suddenly whatever system is developed, it needs phasin</w:t>
      </w:r>
      <w:r w:rsidRPr="00B77C12">
        <w:rPr>
          <w:rFonts w:asciiTheme="minorHAnsi" w:hAnsiTheme="minorHAnsi"/>
          <w:color w:val="006600"/>
          <w:sz w:val="22"/>
        </w:rPr>
        <w:t>g</w:t>
      </w:r>
      <w:r w:rsidR="00921DB7" w:rsidRPr="00B77C12">
        <w:rPr>
          <w:rFonts w:asciiTheme="minorHAnsi" w:hAnsiTheme="minorHAnsi"/>
          <w:color w:val="006600"/>
          <w:sz w:val="22"/>
        </w:rPr>
        <w:t xml:space="preserve"> in e.g. if withdrawing then needs tapering over 3 years.</w:t>
      </w:r>
    </w:p>
    <w:p w:rsidR="00921DB7" w:rsidRPr="00B77C12" w:rsidRDefault="00921DB7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Develop criteri</w:t>
      </w:r>
      <w:r w:rsidR="00EA0E6E" w:rsidRPr="00B77C12">
        <w:rPr>
          <w:rFonts w:asciiTheme="minorHAnsi" w:hAnsiTheme="minorHAnsi"/>
          <w:color w:val="006600"/>
          <w:sz w:val="22"/>
        </w:rPr>
        <w:t>a</w:t>
      </w:r>
      <w:r w:rsidRPr="00B77C12">
        <w:rPr>
          <w:rFonts w:asciiTheme="minorHAnsi" w:hAnsiTheme="minorHAnsi"/>
          <w:color w:val="006600"/>
          <w:sz w:val="22"/>
        </w:rPr>
        <w:t>: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Quality/outcomes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Value for money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% of residents servicing/priority of need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Support community use of space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Measure of ut</w:t>
      </w:r>
      <w:r w:rsidR="00EA0E6E" w:rsidRPr="00B77C12">
        <w:rPr>
          <w:rFonts w:asciiTheme="minorHAnsi" w:hAnsiTheme="minorHAnsi"/>
          <w:color w:val="006600"/>
          <w:sz w:val="22"/>
        </w:rPr>
        <w:t>i</w:t>
      </w:r>
      <w:r w:rsidRPr="00B77C12">
        <w:rPr>
          <w:rFonts w:asciiTheme="minorHAnsi" w:hAnsiTheme="minorHAnsi"/>
          <w:color w:val="006600"/>
          <w:sz w:val="22"/>
        </w:rPr>
        <w:t>lisation of space</w:t>
      </w:r>
    </w:p>
    <w:p w:rsidR="00921DB7" w:rsidRPr="00B77C12" w:rsidRDefault="00921DB7" w:rsidP="00921DB7">
      <w:pPr>
        <w:pStyle w:val="ListParagraph"/>
        <w:numPr>
          <w:ilvl w:val="1"/>
          <w:numId w:val="4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 xml:space="preserve">Tiered levels of rent relief (25% - 50% </w:t>
      </w:r>
      <w:r w:rsidR="008577B9" w:rsidRPr="00B77C12">
        <w:rPr>
          <w:rFonts w:asciiTheme="minorHAnsi" w:hAnsiTheme="minorHAnsi"/>
          <w:color w:val="006600"/>
          <w:sz w:val="22"/>
        </w:rPr>
        <w:t>etc.</w:t>
      </w:r>
      <w:r w:rsidRPr="00B77C12">
        <w:rPr>
          <w:rFonts w:asciiTheme="minorHAnsi" w:hAnsiTheme="minorHAnsi"/>
          <w:color w:val="006600"/>
          <w:sz w:val="22"/>
        </w:rPr>
        <w:t>).</w:t>
      </w:r>
    </w:p>
    <w:p w:rsidR="00921DB7" w:rsidRPr="00B77C12" w:rsidRDefault="00921DB7" w:rsidP="00921DB7">
      <w:pPr>
        <w:pStyle w:val="ListParagraph"/>
        <w:numPr>
          <w:ilvl w:val="1"/>
          <w:numId w:val="6"/>
        </w:numPr>
        <w:spacing w:after="120"/>
        <w:ind w:left="709" w:hanging="283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LB Camden needs to develop Community Asset transfer strategy to incentivise VCOs to take on property</w:t>
      </w:r>
    </w:p>
    <w:p w:rsidR="00921DB7" w:rsidRPr="00B77C12" w:rsidRDefault="00921DB7" w:rsidP="00921DB7">
      <w:pPr>
        <w:pStyle w:val="ListParagraph"/>
        <w:numPr>
          <w:ilvl w:val="1"/>
          <w:numId w:val="6"/>
        </w:numPr>
        <w:spacing w:after="120"/>
        <w:ind w:left="709" w:hanging="283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Leases needs to be addressed.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Misunderstanding around ”market rent”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Need to understand the conflict between subsidising Community centre tenants vs income generation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Different rates for different types of organisations – but would need to change view on income generation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Need to have open and honest discussion with sector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Consider new assets, need a strategic approach to assets</w:t>
      </w:r>
    </w:p>
    <w:p w:rsidR="00EA0E6E" w:rsidRPr="00B77C12" w:rsidRDefault="00EA0E6E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Be flexible</w:t>
      </w:r>
    </w:p>
    <w:p w:rsidR="00EA0E6E" w:rsidRPr="00B77C12" w:rsidRDefault="00EA0E6E" w:rsidP="00EA0E6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Voluntarising libraries and other buildings - Need to look at non-Council buildings</w:t>
      </w:r>
    </w:p>
    <w:p w:rsidR="00EA0E6E" w:rsidRPr="00B77C12" w:rsidRDefault="00EA0E6E" w:rsidP="00EA0E6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Need to unpick the link between Section 106 and rent relief</w:t>
      </w:r>
    </w:p>
    <w:p w:rsidR="00EA0E6E" w:rsidRPr="00B77C12" w:rsidRDefault="00EA0E6E" w:rsidP="00EA0E6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Need to allow time for change</w:t>
      </w:r>
      <w:r w:rsidR="008577B9" w:rsidRPr="00B77C12">
        <w:rPr>
          <w:rFonts w:asciiTheme="minorHAnsi" w:hAnsiTheme="minorHAnsi"/>
          <w:color w:val="CC0000"/>
          <w:sz w:val="22"/>
        </w:rPr>
        <w:t>s</w:t>
      </w:r>
    </w:p>
    <w:p w:rsidR="00EA0E6E" w:rsidRPr="00B77C12" w:rsidRDefault="008577B9" w:rsidP="00EA0E6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Should be o</w:t>
      </w:r>
      <w:r w:rsidR="00EA0E6E" w:rsidRPr="00B77C12">
        <w:rPr>
          <w:rFonts w:asciiTheme="minorHAnsi" w:hAnsiTheme="minorHAnsi"/>
          <w:color w:val="CC0000"/>
          <w:sz w:val="22"/>
        </w:rPr>
        <w:t>utcomes</w:t>
      </w:r>
      <w:r w:rsidRPr="00B77C12">
        <w:rPr>
          <w:rFonts w:asciiTheme="minorHAnsi" w:hAnsiTheme="minorHAnsi"/>
          <w:color w:val="CC0000"/>
          <w:sz w:val="22"/>
        </w:rPr>
        <w:t>-focused rather than space-</w:t>
      </w:r>
      <w:r w:rsidR="00EA0E6E" w:rsidRPr="00B77C12">
        <w:rPr>
          <w:rFonts w:asciiTheme="minorHAnsi" w:hAnsiTheme="minorHAnsi"/>
          <w:color w:val="CC0000"/>
          <w:sz w:val="22"/>
        </w:rPr>
        <w:t>focused – could use credit system.</w:t>
      </w:r>
    </w:p>
    <w:p w:rsidR="00EA0E6E" w:rsidRPr="00B77C12" w:rsidRDefault="00EA0E6E" w:rsidP="00EA0E6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Fairness vs spreading the resources too thinly.</w:t>
      </w:r>
    </w:p>
    <w:p w:rsidR="00480554" w:rsidRPr="00B77C12" w:rsidRDefault="00480554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More realistic than peppercorn</w:t>
      </w:r>
    </w:p>
    <w:p w:rsidR="00480554" w:rsidRPr="00B77C12" w:rsidRDefault="00480554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Currently rent is not market rent.</w:t>
      </w:r>
    </w:p>
    <w:p w:rsidR="00480554" w:rsidRPr="00B77C12" w:rsidRDefault="00480554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Any change needs to be on taper as it has not been costed in their budget</w:t>
      </w:r>
    </w:p>
    <w:p w:rsidR="00480554" w:rsidRPr="00B77C12" w:rsidRDefault="00480554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Negotiations between those who pay rent and those who don’t</w:t>
      </w:r>
    </w:p>
    <w:p w:rsidR="00480554" w:rsidRPr="00B77C12" w:rsidRDefault="00480554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lastRenderedPageBreak/>
        <w:t>As large proportion of property is on estates, Camden needs to look at realistic financial value</w:t>
      </w:r>
    </w:p>
    <w:p w:rsidR="009F59EF" w:rsidRPr="00B77C12" w:rsidRDefault="009F59EF" w:rsidP="0048055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It is likely that in some cases rent </w:t>
      </w:r>
      <w:r w:rsidR="00480554" w:rsidRPr="00B77C12">
        <w:rPr>
          <w:rFonts w:asciiTheme="minorHAnsi" w:hAnsiTheme="minorHAnsi"/>
          <w:color w:val="0070C0"/>
          <w:sz w:val="22"/>
        </w:rPr>
        <w:t>relief receiver</w:t>
      </w:r>
      <w:r w:rsidRPr="00B77C12">
        <w:rPr>
          <w:rFonts w:asciiTheme="minorHAnsi" w:hAnsiTheme="minorHAnsi"/>
          <w:color w:val="0070C0"/>
          <w:sz w:val="22"/>
        </w:rPr>
        <w:t xml:space="preserve"> might not include rental element in their Business at the same time commissioners </w:t>
      </w:r>
      <w:r w:rsidR="00F223D8" w:rsidRPr="00B77C12">
        <w:rPr>
          <w:rFonts w:asciiTheme="minorHAnsi" w:hAnsiTheme="minorHAnsi"/>
          <w:color w:val="0070C0"/>
          <w:sz w:val="22"/>
        </w:rPr>
        <w:t xml:space="preserve">colluding in </w:t>
      </w:r>
      <w:r w:rsidR="005543D6">
        <w:rPr>
          <w:rFonts w:asciiTheme="minorHAnsi" w:hAnsiTheme="minorHAnsi"/>
          <w:color w:val="0070C0"/>
          <w:sz w:val="22"/>
        </w:rPr>
        <w:t>this</w:t>
      </w:r>
      <w:r w:rsidRPr="00B77C12">
        <w:rPr>
          <w:rFonts w:asciiTheme="minorHAnsi" w:hAnsiTheme="minorHAnsi"/>
          <w:color w:val="0070C0"/>
          <w:sz w:val="22"/>
        </w:rPr>
        <w:t xml:space="preserve"> by not valuing /costing contracts on full cost </w:t>
      </w:r>
      <w:proofErr w:type="gramStart"/>
      <w:r w:rsidRPr="00B77C12">
        <w:rPr>
          <w:rFonts w:asciiTheme="minorHAnsi" w:hAnsiTheme="minorHAnsi"/>
          <w:color w:val="0070C0"/>
          <w:sz w:val="22"/>
        </w:rPr>
        <w:t>recovery .</w:t>
      </w:r>
      <w:proofErr w:type="gramEnd"/>
    </w:p>
    <w:p w:rsidR="00F223D8" w:rsidRPr="00B77C12" w:rsidRDefault="009F59EF" w:rsidP="009F59EF">
      <w:pPr>
        <w:spacing w:after="120"/>
        <w:ind w:left="360"/>
        <w:rPr>
          <w:rFonts w:asciiTheme="minorHAnsi" w:hAnsiTheme="minorHAnsi"/>
          <w:color w:val="0070C0"/>
          <w:sz w:val="22"/>
          <w:highlight w:val="yellow"/>
        </w:rPr>
      </w:pPr>
      <w:r w:rsidRPr="00B77C12">
        <w:rPr>
          <w:rFonts w:asciiTheme="minorHAnsi" w:hAnsiTheme="minorHAnsi"/>
          <w:color w:val="0070C0"/>
          <w:sz w:val="22"/>
          <w:highlight w:val="yellow"/>
        </w:rPr>
        <w:t xml:space="preserve"> </w:t>
      </w:r>
    </w:p>
    <w:p w:rsidR="00F223D8" w:rsidRPr="00B77C12" w:rsidRDefault="00F223D8" w:rsidP="008577B9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rPr>
          <w:rFonts w:asciiTheme="minorHAnsi" w:hAnsiTheme="minorHAnsi"/>
          <w:b/>
          <w:sz w:val="22"/>
        </w:rPr>
      </w:pPr>
      <w:r w:rsidRPr="00B77C12">
        <w:rPr>
          <w:rFonts w:asciiTheme="minorHAnsi" w:hAnsiTheme="minorHAnsi"/>
          <w:b/>
          <w:sz w:val="22"/>
        </w:rPr>
        <w:t>Partnerships are going to be crucial in future; how can we make them equitable, transparent and impactful?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Good protocols re developing partnership and keeping them sustainable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Council should supp</w:t>
      </w:r>
      <w:r w:rsidR="008577B9" w:rsidRPr="00B77C12">
        <w:rPr>
          <w:rFonts w:asciiTheme="minorHAnsi" w:hAnsiTheme="minorHAnsi"/>
          <w:color w:val="006600"/>
          <w:sz w:val="22"/>
        </w:rPr>
        <w:t>ort partnerships initiated by the</w:t>
      </w:r>
      <w:r w:rsidRPr="00B77C12">
        <w:rPr>
          <w:rFonts w:asciiTheme="minorHAnsi" w:hAnsiTheme="minorHAnsi"/>
          <w:color w:val="006600"/>
          <w:sz w:val="22"/>
        </w:rPr>
        <w:t xml:space="preserve"> sector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Partnership development is v. resource intensive – doesn’t just happen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Can’t force people/groups into partnerships – if Council wants to establish one then needs to be clear/transparent.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LB Camden can help to facilitate partnership working</w:t>
      </w:r>
    </w:p>
    <w:p w:rsidR="00921DB7" w:rsidRPr="00B77C12" w:rsidRDefault="00921DB7" w:rsidP="000A0B2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006600"/>
          <w:sz w:val="22"/>
        </w:rPr>
      </w:pPr>
      <w:r w:rsidRPr="00B77C12">
        <w:rPr>
          <w:rFonts w:asciiTheme="minorHAnsi" w:hAnsiTheme="minorHAnsi"/>
          <w:color w:val="006600"/>
          <w:sz w:val="22"/>
        </w:rPr>
        <w:t>Partnership between departments in Camden Council would be a good thing.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Shared and clear aims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Being able to contribute at different levels (where there are differences in organisational capacity, it can create unequal relationships).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Organisations need to be aware of what they can give as well as how they can benefit.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Need to understand that bigger organisations are more likely to be able to coordinate partnerships, and the impact of this fact.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Can’t only be based around funding.</w:t>
      </w:r>
    </w:p>
    <w:p w:rsidR="000A0B26" w:rsidRPr="00B77C12" w:rsidRDefault="000A0B26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CC0000"/>
          <w:sz w:val="22"/>
        </w:rPr>
      </w:pPr>
      <w:r w:rsidRPr="00B77C12">
        <w:rPr>
          <w:rFonts w:asciiTheme="minorHAnsi" w:hAnsiTheme="minorHAnsi"/>
          <w:color w:val="CC0000"/>
          <w:sz w:val="22"/>
        </w:rPr>
        <w:t>Existing relationships are key – need to know each other’s strengths and weaknesses - Networks can support this</w:t>
      </w:r>
    </w:p>
    <w:p w:rsidR="00F223D8" w:rsidRPr="00B77C12" w:rsidRDefault="009F59EF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Partnerships are </w:t>
      </w:r>
      <w:r w:rsidR="00212494" w:rsidRPr="00B77C12">
        <w:rPr>
          <w:rFonts w:asciiTheme="minorHAnsi" w:hAnsiTheme="minorHAnsi"/>
          <w:color w:val="0070C0"/>
          <w:sz w:val="22"/>
        </w:rPr>
        <w:t>dependent on h</w:t>
      </w:r>
      <w:r w:rsidR="00F223D8" w:rsidRPr="00B77C12">
        <w:rPr>
          <w:rFonts w:asciiTheme="minorHAnsi" w:hAnsiTheme="minorHAnsi"/>
          <w:color w:val="0070C0"/>
          <w:sz w:val="22"/>
        </w:rPr>
        <w:t>ow easy is it to work with each</w:t>
      </w:r>
      <w:r w:rsidR="00212494" w:rsidRPr="00B77C12">
        <w:rPr>
          <w:rFonts w:asciiTheme="minorHAnsi" w:hAnsiTheme="minorHAnsi"/>
          <w:color w:val="0070C0"/>
          <w:sz w:val="22"/>
        </w:rPr>
        <w:t xml:space="preserve"> other. </w:t>
      </w:r>
    </w:p>
    <w:p w:rsidR="00F223D8" w:rsidRPr="00B77C12" w:rsidRDefault="009F59EF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 xml:space="preserve">One way to ensure equity is by </w:t>
      </w:r>
      <w:r w:rsidR="00F223D8" w:rsidRPr="00B77C12">
        <w:rPr>
          <w:rFonts w:asciiTheme="minorHAnsi" w:hAnsiTheme="minorHAnsi"/>
          <w:color w:val="0070C0"/>
          <w:sz w:val="22"/>
        </w:rPr>
        <w:t xml:space="preserve">Commissioners to </w:t>
      </w:r>
      <w:r w:rsidRPr="00B77C12">
        <w:rPr>
          <w:rFonts w:asciiTheme="minorHAnsi" w:hAnsiTheme="minorHAnsi"/>
          <w:color w:val="0070C0"/>
          <w:sz w:val="22"/>
        </w:rPr>
        <w:t xml:space="preserve">include it in a </w:t>
      </w:r>
      <w:r w:rsidR="00F223D8" w:rsidRPr="00B77C12">
        <w:rPr>
          <w:rFonts w:asciiTheme="minorHAnsi" w:hAnsiTheme="minorHAnsi"/>
          <w:color w:val="0070C0"/>
          <w:sz w:val="22"/>
        </w:rPr>
        <w:t xml:space="preserve">specification </w:t>
      </w:r>
      <w:r w:rsidRPr="00B77C12">
        <w:rPr>
          <w:rFonts w:asciiTheme="minorHAnsi" w:hAnsiTheme="minorHAnsi"/>
          <w:color w:val="0070C0"/>
          <w:sz w:val="22"/>
        </w:rPr>
        <w:t xml:space="preserve"> be clear about the type , size and character of partnerships expected </w:t>
      </w:r>
    </w:p>
    <w:p w:rsidR="00F223D8" w:rsidRPr="00B77C12" w:rsidRDefault="00F223D8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Knowing when opportunities are coming</w:t>
      </w:r>
      <w:r w:rsidR="00212494" w:rsidRPr="00B77C12">
        <w:rPr>
          <w:rFonts w:asciiTheme="minorHAnsi" w:hAnsiTheme="minorHAnsi"/>
          <w:color w:val="0070C0"/>
          <w:sz w:val="22"/>
        </w:rPr>
        <w:t xml:space="preserve">, if there is early notice than it </w:t>
      </w:r>
    </w:p>
    <w:p w:rsidR="00F223D8" w:rsidRPr="00B77C12" w:rsidRDefault="00F223D8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As commissioners if we built in outreach and engagement</w:t>
      </w:r>
      <w:r w:rsidR="00212494" w:rsidRPr="00B77C12">
        <w:rPr>
          <w:rFonts w:asciiTheme="minorHAnsi" w:hAnsiTheme="minorHAnsi"/>
          <w:color w:val="0070C0"/>
          <w:sz w:val="22"/>
        </w:rPr>
        <w:t xml:space="preserve"> before market positioning statement is prepared </w:t>
      </w:r>
    </w:p>
    <w:p w:rsidR="00F223D8" w:rsidRPr="00B77C12" w:rsidRDefault="00F223D8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Need for honest broker</w:t>
      </w:r>
      <w:r w:rsidR="00212494" w:rsidRPr="00B77C12">
        <w:rPr>
          <w:rFonts w:asciiTheme="minorHAnsi" w:hAnsiTheme="minorHAnsi"/>
          <w:color w:val="0070C0"/>
          <w:sz w:val="22"/>
        </w:rPr>
        <w:t xml:space="preserve"> to facilitate partnership ate </w:t>
      </w:r>
    </w:p>
    <w:p w:rsidR="00F223D8" w:rsidRDefault="00F223D8" w:rsidP="00F223D8">
      <w:pPr>
        <w:pStyle w:val="ListParagraph"/>
        <w:numPr>
          <w:ilvl w:val="0"/>
          <w:numId w:val="5"/>
        </w:numPr>
        <w:spacing w:after="120"/>
        <w:ind w:left="709" w:hanging="283"/>
        <w:rPr>
          <w:rFonts w:asciiTheme="minorHAnsi" w:hAnsiTheme="minorHAnsi"/>
          <w:color w:val="0070C0"/>
          <w:sz w:val="22"/>
        </w:rPr>
      </w:pPr>
      <w:r w:rsidRPr="00B77C12">
        <w:rPr>
          <w:rFonts w:asciiTheme="minorHAnsi" w:hAnsiTheme="minorHAnsi"/>
          <w:color w:val="0070C0"/>
          <w:sz w:val="22"/>
        </w:rPr>
        <w:t>SPV [Special Purpose Vehicle] – like Hackney – framework and coordination</w:t>
      </w:r>
      <w:r w:rsidR="0016237B" w:rsidRPr="00B77C12">
        <w:rPr>
          <w:rFonts w:asciiTheme="minorHAnsi" w:hAnsiTheme="minorHAnsi"/>
          <w:color w:val="0070C0"/>
          <w:sz w:val="22"/>
        </w:rPr>
        <w:t xml:space="preserve"> may facilitate better partnership working</w:t>
      </w:r>
      <w:r w:rsidR="005543D6">
        <w:rPr>
          <w:rFonts w:asciiTheme="minorHAnsi" w:hAnsiTheme="minorHAnsi"/>
          <w:color w:val="0070C0"/>
          <w:sz w:val="22"/>
        </w:rPr>
        <w:t>. Also creation of</w:t>
      </w:r>
      <w:r w:rsidR="00212494" w:rsidRPr="00B77C12">
        <w:rPr>
          <w:rFonts w:asciiTheme="minorHAnsi" w:hAnsiTheme="minorHAnsi"/>
          <w:color w:val="0070C0"/>
          <w:sz w:val="22"/>
        </w:rPr>
        <w:t xml:space="preserve"> transparent skills based approach with an honest broker.  </w:t>
      </w:r>
    </w:p>
    <w:p w:rsidR="00AD70FD" w:rsidRPr="00AD70FD" w:rsidRDefault="00AD70FD" w:rsidP="00AD70FD">
      <w:pPr>
        <w:spacing w:after="120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End</w:t>
      </w:r>
      <w:bookmarkStart w:id="0" w:name="_GoBack"/>
      <w:bookmarkEnd w:id="0"/>
    </w:p>
    <w:p w:rsidR="00F223D8" w:rsidRPr="00B77C12" w:rsidRDefault="00F223D8" w:rsidP="00F223D8">
      <w:pPr>
        <w:spacing w:after="120"/>
        <w:rPr>
          <w:rFonts w:asciiTheme="minorHAnsi" w:hAnsiTheme="minorHAnsi"/>
          <w:color w:val="0070C0"/>
          <w:sz w:val="22"/>
          <w:highlight w:val="yellow"/>
        </w:rPr>
      </w:pPr>
    </w:p>
    <w:sectPr w:rsidR="00F223D8" w:rsidRPr="00B77C12" w:rsidSect="00FE262E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B9" w:rsidRDefault="008577B9" w:rsidP="008577B9">
      <w:r>
        <w:separator/>
      </w:r>
    </w:p>
  </w:endnote>
  <w:endnote w:type="continuationSeparator" w:id="0">
    <w:p w:rsidR="008577B9" w:rsidRDefault="008577B9" w:rsidP="008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0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7B9" w:rsidRDefault="00857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7B9" w:rsidRDefault="0085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B9" w:rsidRDefault="008577B9" w:rsidP="008577B9">
      <w:r>
        <w:separator/>
      </w:r>
    </w:p>
  </w:footnote>
  <w:footnote w:type="continuationSeparator" w:id="0">
    <w:p w:rsidR="008577B9" w:rsidRDefault="008577B9" w:rsidP="0085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3A0"/>
    <w:multiLevelType w:val="hybridMultilevel"/>
    <w:tmpl w:val="00AE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69D"/>
    <w:multiLevelType w:val="hybridMultilevel"/>
    <w:tmpl w:val="84C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7C46"/>
    <w:multiLevelType w:val="hybridMultilevel"/>
    <w:tmpl w:val="C09E0E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B27C06"/>
    <w:multiLevelType w:val="hybridMultilevel"/>
    <w:tmpl w:val="9102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5D1E"/>
    <w:multiLevelType w:val="hybridMultilevel"/>
    <w:tmpl w:val="2A7C6190"/>
    <w:lvl w:ilvl="0" w:tplc="42CE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84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4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40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E0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6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23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50214"/>
    <w:multiLevelType w:val="hybridMultilevel"/>
    <w:tmpl w:val="DBE6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84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4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40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E0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6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23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262F1"/>
    <w:multiLevelType w:val="hybridMultilevel"/>
    <w:tmpl w:val="E09E96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84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4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40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E0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6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23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4"/>
    <w:rsid w:val="000A0B26"/>
    <w:rsid w:val="0016237B"/>
    <w:rsid w:val="00212494"/>
    <w:rsid w:val="003358B9"/>
    <w:rsid w:val="00365B10"/>
    <w:rsid w:val="00395765"/>
    <w:rsid w:val="0045427D"/>
    <w:rsid w:val="00480554"/>
    <w:rsid w:val="0054202D"/>
    <w:rsid w:val="005543D6"/>
    <w:rsid w:val="00557E1D"/>
    <w:rsid w:val="0063569E"/>
    <w:rsid w:val="007F5053"/>
    <w:rsid w:val="008541D7"/>
    <w:rsid w:val="008577B9"/>
    <w:rsid w:val="008D59E0"/>
    <w:rsid w:val="00903ABB"/>
    <w:rsid w:val="00921DB7"/>
    <w:rsid w:val="009F59EF"/>
    <w:rsid w:val="00AD70FD"/>
    <w:rsid w:val="00B7445D"/>
    <w:rsid w:val="00B77C12"/>
    <w:rsid w:val="00D9348E"/>
    <w:rsid w:val="00E94274"/>
    <w:rsid w:val="00EA0E6E"/>
    <w:rsid w:val="00F223D8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B9"/>
  </w:style>
  <w:style w:type="paragraph" w:styleId="Footer">
    <w:name w:val="footer"/>
    <w:basedOn w:val="Normal"/>
    <w:link w:val="FooterChar"/>
    <w:uiPriority w:val="99"/>
    <w:unhideWhenUsed/>
    <w:rsid w:val="00857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B9"/>
  </w:style>
  <w:style w:type="paragraph" w:styleId="Footer">
    <w:name w:val="footer"/>
    <w:basedOn w:val="Normal"/>
    <w:link w:val="FooterChar"/>
    <w:uiPriority w:val="99"/>
    <w:unhideWhenUsed/>
    <w:rsid w:val="00857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Edler</dc:creator>
  <cp:lastModifiedBy>Wilson-Young, Nick</cp:lastModifiedBy>
  <cp:revision>6</cp:revision>
  <dcterms:created xsi:type="dcterms:W3CDTF">2015-07-08T15:25:00Z</dcterms:created>
  <dcterms:modified xsi:type="dcterms:W3CDTF">2015-08-11T09:09:00Z</dcterms:modified>
</cp:coreProperties>
</file>