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7" w:rsidRPr="00E473BE" w:rsidRDefault="00AB2CBC" w:rsidP="00171CD7">
      <w:pPr>
        <w:rPr>
          <w:rFonts w:eastAsia="Times New Roman" w:cs="Times New Roman"/>
          <w:b/>
          <w:sz w:val="26"/>
          <w:szCs w:val="26"/>
          <w:lang w:eastAsia="en-GB"/>
        </w:rPr>
      </w:pPr>
      <w:r w:rsidRPr="00E473BE">
        <w:rPr>
          <w:b/>
          <w:sz w:val="26"/>
          <w:szCs w:val="26"/>
        </w:rPr>
        <w:t>S</w:t>
      </w:r>
      <w:r w:rsidR="00171CD7" w:rsidRPr="00E473BE">
        <w:rPr>
          <w:b/>
          <w:sz w:val="26"/>
          <w:szCs w:val="26"/>
        </w:rPr>
        <w:t>ummary of responses to the engagement paper ‘</w:t>
      </w:r>
      <w:r w:rsidR="00171CD7" w:rsidRPr="00E473BE">
        <w:rPr>
          <w:rFonts w:eastAsia="Times New Roman" w:cs="Times New Roman"/>
          <w:b/>
          <w:sz w:val="26"/>
          <w:szCs w:val="26"/>
          <w:lang w:eastAsia="en-GB"/>
        </w:rPr>
        <w:t>Camden Council and Camden’s Voluntary and Community Sector: Investing in a Sustainable Strategic Relationship’</w:t>
      </w:r>
    </w:p>
    <w:p w:rsidR="000B0757" w:rsidRDefault="004A0920">
      <w:r>
        <w:t xml:space="preserve">In December 2014, Camden </w:t>
      </w:r>
      <w:r w:rsidR="00171CD7">
        <w:t xml:space="preserve">Council </w:t>
      </w:r>
      <w:r>
        <w:t xml:space="preserve">started talking to </w:t>
      </w:r>
      <w:r w:rsidR="00171CD7">
        <w:t xml:space="preserve">local </w:t>
      </w:r>
      <w:r>
        <w:t xml:space="preserve">voluntary sector </w:t>
      </w:r>
      <w:r w:rsidR="001377D1">
        <w:t>organisations about how to</w:t>
      </w:r>
      <w:r>
        <w:t xml:space="preserve"> develop a more strategic relationship with the sector in the </w:t>
      </w:r>
      <w:r w:rsidR="00D401A6" w:rsidRPr="00D401A6">
        <w:t xml:space="preserve">light of large reductions in the funding which </w:t>
      </w:r>
      <w:r w:rsidR="00D401A6">
        <w:t>the Council receives f</w:t>
      </w:r>
      <w:r w:rsidR="00D401A6" w:rsidRPr="00D401A6">
        <w:t>r</w:t>
      </w:r>
      <w:r w:rsidR="00D401A6">
        <w:t>om central government</w:t>
      </w:r>
      <w:r>
        <w:t xml:space="preserve">. This </w:t>
      </w:r>
      <w:r w:rsidR="00D401A6">
        <w:t xml:space="preserve">conversation </w:t>
      </w:r>
      <w:r>
        <w:t xml:space="preserve">was also with a view to agreeing a new </w:t>
      </w:r>
      <w:r w:rsidR="00171CD7">
        <w:t xml:space="preserve">investment and support </w:t>
      </w:r>
      <w:r>
        <w:t xml:space="preserve">programme </w:t>
      </w:r>
      <w:r w:rsidR="00171CD7">
        <w:t>for the sector</w:t>
      </w:r>
      <w:r w:rsidR="001377D1">
        <w:t xml:space="preserve"> from 2016-2017.</w:t>
      </w:r>
    </w:p>
    <w:p w:rsidR="00DA1F76" w:rsidRDefault="004A0920">
      <w:pPr>
        <w:rPr>
          <w:color w:val="000000" w:themeColor="text1"/>
        </w:rPr>
      </w:pPr>
      <w:r>
        <w:t xml:space="preserve">After </w:t>
      </w:r>
      <w:r w:rsidR="00811BEB">
        <w:t>several</w:t>
      </w:r>
      <w:r>
        <w:t xml:space="preserve"> events</w:t>
      </w:r>
      <w:r w:rsidR="00171CD7">
        <w:t xml:space="preserve"> with voluntary organisations</w:t>
      </w:r>
      <w:r>
        <w:t xml:space="preserve">, </w:t>
      </w:r>
      <w:r w:rsidR="00171CD7">
        <w:t>and i</w:t>
      </w:r>
      <w:r w:rsidR="00171CD7" w:rsidRPr="00171CD7">
        <w:t xml:space="preserve">n response to </w:t>
      </w:r>
      <w:r w:rsidR="00171CD7">
        <w:t xml:space="preserve">requests </w:t>
      </w:r>
      <w:r w:rsidR="00171CD7" w:rsidRPr="00171CD7">
        <w:t>from the sector</w:t>
      </w:r>
      <w:r w:rsidR="001377D1">
        <w:t xml:space="preserve"> for options to consider, an ‘engagement </w:t>
      </w:r>
      <w:r w:rsidR="00171CD7">
        <w:t>paper</w:t>
      </w:r>
      <w:r w:rsidR="001377D1">
        <w:t>’</w:t>
      </w:r>
      <w:r w:rsidR="00811BEB">
        <w:t xml:space="preserve"> </w:t>
      </w:r>
      <w:r w:rsidR="00171CD7">
        <w:t>was p</w:t>
      </w:r>
      <w:r w:rsidR="000B0757">
        <w:t xml:space="preserve">resented for discussion </w:t>
      </w:r>
      <w:r w:rsidR="001377D1">
        <w:t xml:space="preserve">from </w:t>
      </w:r>
      <w:r>
        <w:t>May</w:t>
      </w:r>
      <w:r w:rsidR="001377D1">
        <w:t xml:space="preserve"> to </w:t>
      </w:r>
      <w:r>
        <w:t xml:space="preserve">July 2015. </w:t>
      </w:r>
      <w:r w:rsidR="00171CD7">
        <w:t xml:space="preserve">The options in </w:t>
      </w:r>
      <w:r w:rsidR="001377D1">
        <w:t>that paper</w:t>
      </w:r>
      <w:r w:rsidR="00E473BE">
        <w:t xml:space="preserve"> were not mutually exclusive. R</w:t>
      </w:r>
      <w:r w:rsidR="00171CD7">
        <w:t xml:space="preserve">espondents were </w:t>
      </w:r>
      <w:r w:rsidR="005D2156">
        <w:t>asked</w:t>
      </w:r>
      <w:r w:rsidR="002438E0">
        <w:t xml:space="preserve"> to </w:t>
      </w:r>
      <w:r w:rsidR="00811BEB">
        <w:t>think</w:t>
      </w:r>
      <w:r w:rsidR="002438E0">
        <w:t xml:space="preserve"> </w:t>
      </w:r>
      <w:r w:rsidR="00E473BE">
        <w:t xml:space="preserve">about </w:t>
      </w:r>
      <w:r w:rsidR="002438E0">
        <w:t xml:space="preserve">which aspects </w:t>
      </w:r>
      <w:r w:rsidR="00E473BE">
        <w:t xml:space="preserve">of the options </w:t>
      </w:r>
      <w:r w:rsidR="002438E0">
        <w:t>might combine well</w:t>
      </w:r>
      <w:r w:rsidR="00E473BE">
        <w:t>, and</w:t>
      </w:r>
      <w:r w:rsidR="00171CD7">
        <w:t xml:space="preserve"> suggest alternatives</w:t>
      </w:r>
      <w:r w:rsidR="002438E0">
        <w:t>.</w:t>
      </w:r>
      <w:r w:rsidR="003C6AAE">
        <w:t xml:space="preserve"> </w:t>
      </w:r>
      <w:r w:rsidRPr="005D2156">
        <w:rPr>
          <w:color w:val="000000" w:themeColor="text1"/>
        </w:rPr>
        <w:t xml:space="preserve">The </w:t>
      </w:r>
      <w:r w:rsidR="005D2156">
        <w:rPr>
          <w:color w:val="000000" w:themeColor="text1"/>
        </w:rPr>
        <w:t xml:space="preserve">aim </w:t>
      </w:r>
      <w:r w:rsidRPr="005D2156">
        <w:rPr>
          <w:color w:val="000000" w:themeColor="text1"/>
        </w:rPr>
        <w:t xml:space="preserve">was to </w:t>
      </w:r>
      <w:r w:rsidR="00AD4B79" w:rsidRPr="005D2156">
        <w:rPr>
          <w:color w:val="000000" w:themeColor="text1"/>
        </w:rPr>
        <w:t xml:space="preserve">gather </w:t>
      </w:r>
      <w:r w:rsidR="00E473BE">
        <w:rPr>
          <w:color w:val="000000" w:themeColor="text1"/>
        </w:rPr>
        <w:t>a variety of views to</w:t>
      </w:r>
      <w:r w:rsidR="005D2156">
        <w:rPr>
          <w:color w:val="000000" w:themeColor="text1"/>
        </w:rPr>
        <w:t xml:space="preserve"> inform </w:t>
      </w:r>
      <w:r w:rsidRPr="005D2156">
        <w:rPr>
          <w:color w:val="000000" w:themeColor="text1"/>
        </w:rPr>
        <w:t xml:space="preserve">a single </w:t>
      </w:r>
      <w:r w:rsidR="00AD4B79" w:rsidRPr="005D2156">
        <w:rPr>
          <w:color w:val="000000" w:themeColor="text1"/>
        </w:rPr>
        <w:t xml:space="preserve">synthesised </w:t>
      </w:r>
      <w:r w:rsidR="005D2156">
        <w:rPr>
          <w:color w:val="000000" w:themeColor="text1"/>
        </w:rPr>
        <w:t xml:space="preserve">proposal which </w:t>
      </w:r>
      <w:r w:rsidR="000B0757">
        <w:rPr>
          <w:color w:val="000000" w:themeColor="text1"/>
        </w:rPr>
        <w:t>will</w:t>
      </w:r>
      <w:r w:rsidR="005D2156">
        <w:rPr>
          <w:color w:val="000000" w:themeColor="text1"/>
        </w:rPr>
        <w:t xml:space="preserve"> </w:t>
      </w:r>
      <w:r w:rsidR="00E473BE">
        <w:rPr>
          <w:color w:val="000000" w:themeColor="text1"/>
        </w:rPr>
        <w:t>be</w:t>
      </w:r>
      <w:r w:rsidRPr="005D2156">
        <w:rPr>
          <w:color w:val="000000" w:themeColor="text1"/>
        </w:rPr>
        <w:t xml:space="preserve"> fo</w:t>
      </w:r>
      <w:r w:rsidR="000B0757">
        <w:rPr>
          <w:color w:val="000000" w:themeColor="text1"/>
        </w:rPr>
        <w:t xml:space="preserve">rmally consulted on </w:t>
      </w:r>
      <w:r w:rsidR="001377D1">
        <w:rPr>
          <w:color w:val="000000" w:themeColor="text1"/>
        </w:rPr>
        <w:t xml:space="preserve">in </w:t>
      </w:r>
      <w:r w:rsidR="00E473BE">
        <w:rPr>
          <w:color w:val="000000" w:themeColor="text1"/>
        </w:rPr>
        <w:t xml:space="preserve">autumn </w:t>
      </w:r>
      <w:r w:rsidR="00E473BE" w:rsidRPr="005D2156">
        <w:rPr>
          <w:color w:val="000000" w:themeColor="text1"/>
        </w:rPr>
        <w:t>2015</w:t>
      </w:r>
      <w:r w:rsidRPr="005D2156">
        <w:rPr>
          <w:color w:val="000000" w:themeColor="text1"/>
        </w:rPr>
        <w:t>.</w:t>
      </w:r>
    </w:p>
    <w:p w:rsidR="004A0920" w:rsidRPr="0012095C" w:rsidRDefault="00701538" w:rsidP="006772CD">
      <w:pPr>
        <w:rPr>
          <w:b/>
        </w:rPr>
      </w:pPr>
      <w:r>
        <w:rPr>
          <w:b/>
        </w:rPr>
        <w:t>1</w:t>
      </w:r>
      <w:r w:rsidR="0054354D">
        <w:rPr>
          <w:b/>
        </w:rPr>
        <w:t xml:space="preserve">. </w:t>
      </w:r>
      <w:r w:rsidR="004A0920" w:rsidRPr="0012095C">
        <w:rPr>
          <w:b/>
        </w:rPr>
        <w:t>Who responded</w:t>
      </w:r>
      <w:r w:rsidR="009C1F7B" w:rsidRPr="0012095C">
        <w:rPr>
          <w:b/>
        </w:rPr>
        <w:t xml:space="preserve"> to the engagement paper</w:t>
      </w:r>
      <w:r w:rsidR="004A0920" w:rsidRPr="0012095C">
        <w:rPr>
          <w:b/>
        </w:rPr>
        <w:t>?</w:t>
      </w:r>
    </w:p>
    <w:p w:rsidR="004A0920" w:rsidRPr="000B0757" w:rsidRDefault="000B0757">
      <w:r w:rsidRPr="000B0757">
        <w:t>One hundred and six people from eighty-</w:t>
      </w:r>
      <w:r w:rsidR="009C1F7B" w:rsidRPr="000B0757">
        <w:t>four</w:t>
      </w:r>
      <w:r w:rsidR="008A495E" w:rsidRPr="000B0757">
        <w:t xml:space="preserve"> </w:t>
      </w:r>
      <w:r w:rsidRPr="000B0757">
        <w:t>o</w:t>
      </w:r>
      <w:r w:rsidR="00E023F7" w:rsidRPr="000B0757">
        <w:t xml:space="preserve">rganisations </w:t>
      </w:r>
      <w:r w:rsidR="001377D1">
        <w:t xml:space="preserve">responded. </w:t>
      </w:r>
      <w:r w:rsidR="00C30A77" w:rsidRPr="00C30A77">
        <w:t>These organisations have incomes ranging from under £10,000 to over £1.6m.</w:t>
      </w:r>
      <w:r w:rsidR="00BC1E64">
        <w:t xml:space="preserve"> Of these</w:t>
      </w:r>
      <w:bookmarkStart w:id="0" w:name="_GoBack"/>
      <w:bookmarkEnd w:id="0"/>
      <w:r w:rsidR="001377D1" w:rsidRPr="001377D1">
        <w:t>, 71% currently get Council funding</w:t>
      </w:r>
      <w:r w:rsidR="00C30A77">
        <w:t xml:space="preserve"> as a part of their income</w:t>
      </w:r>
      <w:r w:rsidR="001377D1">
        <w:t xml:space="preserve">. </w:t>
      </w:r>
    </w:p>
    <w:p w:rsidR="000B0757" w:rsidRDefault="001377D1" w:rsidP="00701538">
      <w:pPr>
        <w:rPr>
          <w:b/>
        </w:rPr>
      </w:pPr>
      <w:r>
        <w:rPr>
          <w:b/>
        </w:rPr>
        <w:t xml:space="preserve"> </w:t>
      </w:r>
    </w:p>
    <w:p w:rsidR="001575BF" w:rsidRPr="00701538" w:rsidRDefault="00701538" w:rsidP="00701538">
      <w:pPr>
        <w:rPr>
          <w:b/>
        </w:rPr>
      </w:pPr>
      <w:r>
        <w:rPr>
          <w:b/>
        </w:rPr>
        <w:t>2</w:t>
      </w:r>
      <w:r w:rsidR="0054354D">
        <w:rPr>
          <w:b/>
        </w:rPr>
        <w:t xml:space="preserve">. </w:t>
      </w:r>
      <w:r w:rsidR="001575BF" w:rsidRPr="00701538">
        <w:rPr>
          <w:b/>
        </w:rPr>
        <w:t>The four options presented in the engagement paper</w:t>
      </w:r>
      <w:r>
        <w:rPr>
          <w:b/>
        </w:rPr>
        <w:t>, and responses to them:</w:t>
      </w:r>
    </w:p>
    <w:p w:rsidR="00701538" w:rsidRPr="00701538" w:rsidRDefault="00701538" w:rsidP="00701538">
      <w:r w:rsidRPr="00701538">
        <w:t xml:space="preserve">Views varied widely, with different types of organisations tending to support different </w:t>
      </w:r>
      <w:r w:rsidR="000B0757">
        <w:t>ideas</w:t>
      </w:r>
      <w:r w:rsidRPr="00701538">
        <w:t>.</w:t>
      </w:r>
      <w:r>
        <w:t xml:space="preserve"> </w:t>
      </w:r>
      <w:r w:rsidR="003039A3">
        <w:t>Strengths, challenges and opportunities identified by r</w:t>
      </w:r>
      <w:r w:rsidR="000B0757">
        <w:t>espondent</w:t>
      </w:r>
      <w:r w:rsidR="000B5FDE">
        <w:t>s</w:t>
      </w:r>
      <w:r w:rsidR="003039A3">
        <w:t xml:space="preserve"> for each option </w:t>
      </w:r>
      <w:r w:rsidR="000B0757">
        <w:t xml:space="preserve">are summarised below. </w:t>
      </w:r>
      <w:r w:rsidRPr="00701538">
        <w:t xml:space="preserve">For </w:t>
      </w:r>
      <w:r>
        <w:t xml:space="preserve">details of each option, </w:t>
      </w:r>
      <w:r w:rsidR="000B0757">
        <w:t xml:space="preserve">and the full responses, </w:t>
      </w:r>
      <w:r>
        <w:t>s</w:t>
      </w:r>
      <w:r w:rsidRPr="00701538">
        <w:t xml:space="preserve">ee </w:t>
      </w:r>
      <w:hyperlink r:id="rId8" w:history="1">
        <w:r w:rsidRPr="00701538">
          <w:rPr>
            <w:rStyle w:val="Hyperlink"/>
          </w:rPr>
          <w:t>our website</w:t>
        </w:r>
      </w:hyperlink>
      <w:r w:rsidR="000B0757">
        <w:t>.</w:t>
      </w:r>
    </w:p>
    <w:p w:rsidR="00701538" w:rsidRPr="00701538" w:rsidRDefault="00701538" w:rsidP="00701538">
      <w:r>
        <w:rPr>
          <w:b/>
        </w:rPr>
        <w:t xml:space="preserve">2.1 </w:t>
      </w:r>
      <w:r w:rsidRPr="00701538">
        <w:rPr>
          <w:b/>
        </w:rPr>
        <w:t>Option A:</w:t>
      </w:r>
      <w:r w:rsidRPr="00701538">
        <w:t xml:space="preserve"> Similar to the Council’s current Voluntary and Community Sector Investment Programme (a combination of project and non-project funding) but with less money</w:t>
      </w:r>
      <w:r>
        <w:t>.</w:t>
      </w:r>
    </w:p>
    <w:p w:rsidR="00701538" w:rsidRPr="002E1C82" w:rsidRDefault="0012095C" w:rsidP="0012095C">
      <w:pPr>
        <w:rPr>
          <w:color w:val="548DD4" w:themeColor="text2" w:themeTint="99"/>
        </w:rPr>
      </w:pPr>
      <w:r w:rsidRPr="006772CD">
        <w:rPr>
          <w:b/>
        </w:rPr>
        <w:t>Strengths</w:t>
      </w:r>
      <w:r w:rsidR="00701538">
        <w:rPr>
          <w:b/>
        </w:rPr>
        <w:t xml:space="preserve">: </w:t>
      </w:r>
      <w:r w:rsidR="000B0757" w:rsidRPr="000B0757">
        <w:t xml:space="preserve">Ensures a diversity </w:t>
      </w:r>
      <w:r w:rsidR="000B0757">
        <w:t xml:space="preserve">of old and new, large and </w:t>
      </w:r>
      <w:r w:rsidR="000B0757" w:rsidRPr="000B0757">
        <w:t xml:space="preserve">small, </w:t>
      </w:r>
      <w:r w:rsidR="000B0757">
        <w:t xml:space="preserve">and generalist and </w:t>
      </w:r>
      <w:r w:rsidR="000B0757" w:rsidRPr="000B0757">
        <w:t>specialist</w:t>
      </w:r>
      <w:r w:rsidR="000B0757">
        <w:t xml:space="preserve"> </w:t>
      </w:r>
      <w:r w:rsidR="000B0757" w:rsidRPr="000B0757">
        <w:t>organisations</w:t>
      </w:r>
      <w:r w:rsidR="009D041D">
        <w:t xml:space="preserve"> by combining the </w:t>
      </w:r>
      <w:r w:rsidR="009D041D" w:rsidRPr="009D041D">
        <w:t>benefits of stable ‘core’ funding and flexible project funding</w:t>
      </w:r>
      <w:r w:rsidR="009D041D">
        <w:t>. A</w:t>
      </w:r>
      <w:r w:rsidR="00A201A3" w:rsidRPr="000B0757">
        <w:t>llows the Council and the VCS</w:t>
      </w:r>
      <w:r w:rsidRPr="000B0757">
        <w:t xml:space="preserve"> to respond to new </w:t>
      </w:r>
      <w:r w:rsidRPr="006772CD">
        <w:t>need</w:t>
      </w:r>
      <w:r w:rsidR="000B0757">
        <w:t xml:space="preserve">s. </w:t>
      </w:r>
    </w:p>
    <w:p w:rsidR="000B5FDE" w:rsidRDefault="00701538" w:rsidP="0012095C">
      <w:r w:rsidRPr="00701538">
        <w:rPr>
          <w:b/>
        </w:rPr>
        <w:t>Ch</w:t>
      </w:r>
      <w:r w:rsidR="0012095C" w:rsidRPr="00701538">
        <w:rPr>
          <w:b/>
        </w:rPr>
        <w:t>allenges</w:t>
      </w:r>
      <w:r>
        <w:rPr>
          <w:b/>
        </w:rPr>
        <w:t xml:space="preserve">: </w:t>
      </w:r>
      <w:r w:rsidR="003039A3">
        <w:t>P</w:t>
      </w:r>
      <w:r w:rsidR="0012095C" w:rsidRPr="006772CD">
        <w:t>erceived inequity</w:t>
      </w:r>
      <w:r>
        <w:t xml:space="preserve"> in </w:t>
      </w:r>
      <w:r w:rsidR="000B5FDE">
        <w:t xml:space="preserve">the level of access which different organisations currently have to Council departments. Also perceived inequity in the way </w:t>
      </w:r>
      <w:r w:rsidR="009D041D" w:rsidRPr="009D041D">
        <w:t xml:space="preserve">in which </w:t>
      </w:r>
      <w:r w:rsidR="000B5FDE">
        <w:t xml:space="preserve">‘core’ funding </w:t>
      </w:r>
      <w:r w:rsidR="003039A3">
        <w:t xml:space="preserve">and rent relief </w:t>
      </w:r>
      <w:r w:rsidR="000B5FDE">
        <w:t>is currently distributed.</w:t>
      </w:r>
    </w:p>
    <w:p w:rsidR="00701538" w:rsidRDefault="00701538" w:rsidP="00701538">
      <w:r w:rsidRPr="00701538">
        <w:rPr>
          <w:b/>
        </w:rPr>
        <w:t>O</w:t>
      </w:r>
      <w:r w:rsidR="00A201A3">
        <w:rPr>
          <w:b/>
        </w:rPr>
        <w:t>pportunities</w:t>
      </w:r>
      <w:r>
        <w:rPr>
          <w:b/>
        </w:rPr>
        <w:t>:</w:t>
      </w:r>
      <w:r w:rsidR="00F11543">
        <w:rPr>
          <w:b/>
        </w:rPr>
        <w:t xml:space="preserve"> </w:t>
      </w:r>
      <w:r w:rsidR="00F11543" w:rsidRPr="00F11543">
        <w:t xml:space="preserve">Possible improvements </w:t>
      </w:r>
      <w:r w:rsidR="00E473BE">
        <w:t xml:space="preserve">to the current programme </w:t>
      </w:r>
      <w:r w:rsidR="00F11543" w:rsidRPr="00F11543">
        <w:t xml:space="preserve">include </w:t>
      </w:r>
      <w:r w:rsidR="00E473BE">
        <w:t xml:space="preserve">fairer, </w:t>
      </w:r>
      <w:r w:rsidR="0012095C" w:rsidRPr="006772CD">
        <w:t xml:space="preserve">more transparent </w:t>
      </w:r>
      <w:r>
        <w:t>‘</w:t>
      </w:r>
      <w:r w:rsidR="0012095C" w:rsidRPr="006772CD">
        <w:t>core</w:t>
      </w:r>
      <w:r>
        <w:t>’</w:t>
      </w:r>
      <w:r w:rsidR="00F11543">
        <w:t xml:space="preserve"> funding and </w:t>
      </w:r>
      <w:r w:rsidR="0012095C" w:rsidRPr="006772CD">
        <w:t>greater opportunities for smaller organisations not c</w:t>
      </w:r>
      <w:r w:rsidR="00F11543">
        <w:t>urrently in receipt of funding.</w:t>
      </w:r>
    </w:p>
    <w:p w:rsidR="00F11543" w:rsidRPr="00F11543" w:rsidRDefault="00F11543" w:rsidP="00701538"/>
    <w:p w:rsidR="00701538" w:rsidRPr="00701538" w:rsidRDefault="00701538" w:rsidP="00701538">
      <w:r>
        <w:rPr>
          <w:b/>
        </w:rPr>
        <w:t xml:space="preserve">2.2 </w:t>
      </w:r>
      <w:r w:rsidRPr="00701538">
        <w:rPr>
          <w:b/>
        </w:rPr>
        <w:t xml:space="preserve">Option B: </w:t>
      </w:r>
      <w:r w:rsidRPr="00701538">
        <w:t xml:space="preserve">Only non-project funding (e.g. </w:t>
      </w:r>
      <w:r>
        <w:t>‘</w:t>
      </w:r>
      <w:r w:rsidRPr="00701538">
        <w:t>core</w:t>
      </w:r>
      <w:r>
        <w:t>’</w:t>
      </w:r>
      <w:r w:rsidRPr="00701538">
        <w:t xml:space="preserve"> funding for community centres).</w:t>
      </w:r>
    </w:p>
    <w:p w:rsidR="00701538" w:rsidRPr="002E1C82" w:rsidRDefault="0012095C" w:rsidP="0012095C">
      <w:pPr>
        <w:rPr>
          <w:color w:val="548DD4" w:themeColor="text2" w:themeTint="99"/>
        </w:rPr>
      </w:pPr>
      <w:r w:rsidRPr="006772CD">
        <w:rPr>
          <w:b/>
        </w:rPr>
        <w:t>St</w:t>
      </w:r>
      <w:r w:rsidRPr="003039A3">
        <w:rPr>
          <w:b/>
        </w:rPr>
        <w:t>rengths</w:t>
      </w:r>
      <w:r w:rsidR="00701538" w:rsidRPr="003039A3">
        <w:rPr>
          <w:b/>
        </w:rPr>
        <w:t xml:space="preserve">: </w:t>
      </w:r>
      <w:r w:rsidR="00701538" w:rsidRPr="003039A3">
        <w:t>M</w:t>
      </w:r>
      <w:r w:rsidRPr="003039A3">
        <w:t xml:space="preserve">ainly about the importance of </w:t>
      </w:r>
      <w:r w:rsidR="00701538" w:rsidRPr="003039A3">
        <w:t>‘</w:t>
      </w:r>
      <w:r w:rsidRPr="003039A3">
        <w:t>core</w:t>
      </w:r>
      <w:r w:rsidR="00701538" w:rsidRPr="003039A3">
        <w:t>’</w:t>
      </w:r>
      <w:r w:rsidRPr="003039A3">
        <w:t xml:space="preserve"> </w:t>
      </w:r>
      <w:r w:rsidR="003039A3" w:rsidRPr="003039A3">
        <w:t xml:space="preserve">council </w:t>
      </w:r>
      <w:r w:rsidRPr="003039A3">
        <w:t xml:space="preserve">funding in </w:t>
      </w:r>
      <w:r w:rsidR="00701538" w:rsidRPr="003039A3">
        <w:t>ensuring a sustainable sector</w:t>
      </w:r>
      <w:r w:rsidR="002E1C82" w:rsidRPr="003039A3">
        <w:t>, as it is difficult to get this from other funders</w:t>
      </w:r>
      <w:r w:rsidR="00701538" w:rsidRPr="003039A3">
        <w:t xml:space="preserve">. </w:t>
      </w:r>
    </w:p>
    <w:p w:rsidR="00A201A3" w:rsidRDefault="00701538" w:rsidP="0012095C">
      <w:r w:rsidRPr="00701538">
        <w:rPr>
          <w:b/>
        </w:rPr>
        <w:lastRenderedPageBreak/>
        <w:t>Challenges:</w:t>
      </w:r>
      <w:r>
        <w:t xml:space="preserve">  A</w:t>
      </w:r>
      <w:r w:rsidR="0012095C" w:rsidRPr="006772CD">
        <w:t xml:space="preserve"> key </w:t>
      </w:r>
      <w:r w:rsidR="0012095C" w:rsidRPr="00701538">
        <w:t xml:space="preserve">concern </w:t>
      </w:r>
      <w:r w:rsidR="0012095C" w:rsidRPr="006772CD">
        <w:t xml:space="preserve">was that </w:t>
      </w:r>
      <w:r w:rsidR="00A201A3">
        <w:t xml:space="preserve">only having ‘core’ funding </w:t>
      </w:r>
      <w:r w:rsidR="003039A3">
        <w:t xml:space="preserve">would disadvantage </w:t>
      </w:r>
      <w:r w:rsidR="00532943">
        <w:t>small, new and</w:t>
      </w:r>
      <w:r w:rsidR="0012095C" w:rsidRPr="006772CD">
        <w:t xml:space="preserve"> l</w:t>
      </w:r>
      <w:r w:rsidR="003039A3">
        <w:t>ess established organisations and inadvertently stifle innovation.</w:t>
      </w:r>
    </w:p>
    <w:p w:rsidR="0012095C" w:rsidRPr="006772CD" w:rsidRDefault="00A201A3" w:rsidP="0012095C">
      <w:r>
        <w:rPr>
          <w:b/>
        </w:rPr>
        <w:t>Opportunities:</w:t>
      </w:r>
      <w:r w:rsidR="0012095C" w:rsidRPr="006772CD">
        <w:t xml:space="preserve"> </w:t>
      </w:r>
      <w:r>
        <w:t xml:space="preserve">It should be possible to </w:t>
      </w:r>
      <w:r w:rsidR="0012095C" w:rsidRPr="006772CD">
        <w:t>design</w:t>
      </w:r>
      <w:r>
        <w:t xml:space="preserve"> a</w:t>
      </w:r>
      <w:r w:rsidR="0012095C" w:rsidRPr="006772CD">
        <w:t xml:space="preserve"> fairer system for </w:t>
      </w:r>
      <w:r>
        <w:t xml:space="preserve">‘core’ </w:t>
      </w:r>
      <w:r w:rsidR="0012095C" w:rsidRPr="006772CD">
        <w:t>funding with a wider set of criteria</w:t>
      </w:r>
      <w:r>
        <w:t>,</w:t>
      </w:r>
      <w:r w:rsidR="003039A3">
        <w:t xml:space="preserve"> so </w:t>
      </w:r>
      <w:r>
        <w:t xml:space="preserve">thematic </w:t>
      </w:r>
      <w:r w:rsidR="0012095C" w:rsidRPr="006772CD">
        <w:t>as well as neighbourhood organisations</w:t>
      </w:r>
      <w:r w:rsidR="003039A3">
        <w:t xml:space="preserve"> can benefit.</w:t>
      </w:r>
    </w:p>
    <w:p w:rsidR="0054354D" w:rsidRDefault="0054354D" w:rsidP="00701538">
      <w:pPr>
        <w:rPr>
          <w:b/>
        </w:rPr>
      </w:pPr>
    </w:p>
    <w:p w:rsidR="00701538" w:rsidRPr="00701538" w:rsidRDefault="00A201A3" w:rsidP="00701538">
      <w:pPr>
        <w:rPr>
          <w:b/>
        </w:rPr>
      </w:pPr>
      <w:r>
        <w:rPr>
          <w:b/>
        </w:rPr>
        <w:t xml:space="preserve">2.3 </w:t>
      </w:r>
      <w:r w:rsidR="00701538" w:rsidRPr="00701538">
        <w:rPr>
          <w:b/>
        </w:rPr>
        <w:t xml:space="preserve">Option C: </w:t>
      </w:r>
      <w:r w:rsidR="00701538" w:rsidRPr="00701538">
        <w:t>‘Collective impact’ model where partnerships are developed and funded around borough-wide or local challenges or themes</w:t>
      </w:r>
      <w:r w:rsidR="00701538">
        <w:rPr>
          <w:b/>
        </w:rPr>
        <w:t>.</w:t>
      </w:r>
    </w:p>
    <w:p w:rsidR="00C7735A" w:rsidRDefault="0012095C" w:rsidP="0012095C">
      <w:r w:rsidRPr="006772CD">
        <w:rPr>
          <w:b/>
        </w:rPr>
        <w:t>S</w:t>
      </w:r>
      <w:r w:rsidR="00701538">
        <w:rPr>
          <w:b/>
        </w:rPr>
        <w:t>t</w:t>
      </w:r>
      <w:r w:rsidRPr="006772CD">
        <w:rPr>
          <w:b/>
        </w:rPr>
        <w:t>rengths</w:t>
      </w:r>
      <w:r w:rsidR="00A201A3">
        <w:rPr>
          <w:b/>
        </w:rPr>
        <w:t>:</w:t>
      </w:r>
      <w:r w:rsidRPr="006772CD">
        <w:t xml:space="preserve"> </w:t>
      </w:r>
      <w:r w:rsidR="00C7735A">
        <w:t>T</w:t>
      </w:r>
      <w:r w:rsidRPr="006772CD">
        <w:t xml:space="preserve">he opportunity to work with other organisations (not just </w:t>
      </w:r>
      <w:r w:rsidR="00C7735A">
        <w:t xml:space="preserve">the </w:t>
      </w:r>
      <w:r w:rsidRPr="006772CD">
        <w:t xml:space="preserve">VCS) on common issues.  </w:t>
      </w:r>
    </w:p>
    <w:p w:rsidR="00C7735A" w:rsidRDefault="00C7735A" w:rsidP="0012095C">
      <w:r w:rsidRPr="00C7735A">
        <w:rPr>
          <w:b/>
        </w:rPr>
        <w:t>Challenges:</w:t>
      </w:r>
      <w:r>
        <w:t xml:space="preserve"> P</w:t>
      </w:r>
      <w:r w:rsidR="003039A3">
        <w:t>otential bureaucracy in</w:t>
      </w:r>
      <w:r>
        <w:t xml:space="preserve"> developing </w:t>
      </w:r>
      <w:r w:rsidR="0012095C" w:rsidRPr="006772CD">
        <w:t xml:space="preserve">‘backbone’ organisations </w:t>
      </w:r>
      <w:r>
        <w:t xml:space="preserve">to oversee each challenge, which could also be seen as the </w:t>
      </w:r>
      <w:r w:rsidR="0012095C" w:rsidRPr="006772CD">
        <w:t>Council trying to play less of a role</w:t>
      </w:r>
      <w:r>
        <w:t xml:space="preserve">. </w:t>
      </w:r>
      <w:r w:rsidR="003039A3" w:rsidRPr="003039A3">
        <w:t>Respondents also generally felt that this option would favour large organisatio</w:t>
      </w:r>
      <w:r w:rsidR="000739E9">
        <w:t>ns</w:t>
      </w:r>
      <w:r w:rsidR="00532943">
        <w:t>, and there was concern that ‘backbone’ organisations would reap an unfair competitive advantage.</w:t>
      </w:r>
      <w:r w:rsidR="003039A3" w:rsidRPr="003039A3">
        <w:t xml:space="preserve"> </w:t>
      </w:r>
      <w:r>
        <w:t xml:space="preserve">There was a </w:t>
      </w:r>
      <w:r w:rsidR="0012095C" w:rsidRPr="006772CD">
        <w:t xml:space="preserve">strong view that </w:t>
      </w:r>
      <w:r w:rsidR="003039A3">
        <w:t xml:space="preserve">if this option was developed, </w:t>
      </w:r>
      <w:r>
        <w:t>‘</w:t>
      </w:r>
      <w:r w:rsidR="0012095C" w:rsidRPr="006772CD">
        <w:t>core</w:t>
      </w:r>
      <w:r>
        <w:t>’</w:t>
      </w:r>
      <w:r w:rsidR="0012095C" w:rsidRPr="006772CD">
        <w:t xml:space="preserve"> funding </w:t>
      </w:r>
      <w:r>
        <w:t xml:space="preserve">would have to </w:t>
      </w:r>
      <w:r w:rsidR="003039A3">
        <w:t xml:space="preserve">stay </w:t>
      </w:r>
      <w:r>
        <w:t xml:space="preserve">alongside the thematic </w:t>
      </w:r>
      <w:r w:rsidR="003039A3">
        <w:t xml:space="preserve">partnership </w:t>
      </w:r>
      <w:r>
        <w:t xml:space="preserve">work </w:t>
      </w:r>
      <w:r w:rsidR="003039A3">
        <w:t xml:space="preserve">so as </w:t>
      </w:r>
      <w:r>
        <w:t xml:space="preserve">to ensure continuity of non-thematic organisations. </w:t>
      </w:r>
    </w:p>
    <w:p w:rsidR="0012095C" w:rsidRPr="006772CD" w:rsidRDefault="00C7735A" w:rsidP="0012095C">
      <w:r>
        <w:rPr>
          <w:b/>
        </w:rPr>
        <w:t>O</w:t>
      </w:r>
      <w:r w:rsidR="0012095C" w:rsidRPr="006772CD">
        <w:rPr>
          <w:b/>
        </w:rPr>
        <w:t>pportunit</w:t>
      </w:r>
      <w:r>
        <w:rPr>
          <w:b/>
        </w:rPr>
        <w:t xml:space="preserve">ies: </w:t>
      </w:r>
      <w:r w:rsidRPr="00C7735A">
        <w:t>T</w:t>
      </w:r>
      <w:r w:rsidR="0012095C" w:rsidRPr="006772CD">
        <w:t xml:space="preserve">he chance to unlock </w:t>
      </w:r>
      <w:r w:rsidR="00A51382">
        <w:t xml:space="preserve">other </w:t>
      </w:r>
      <w:r w:rsidR="00DB54B5">
        <w:t xml:space="preserve">funding </w:t>
      </w:r>
      <w:r w:rsidR="00A51382">
        <w:t xml:space="preserve">sources and other council and non-council </w:t>
      </w:r>
      <w:r w:rsidR="0012095C" w:rsidRPr="006772CD">
        <w:t>commissioning</w:t>
      </w:r>
      <w:r w:rsidR="003039A3">
        <w:t>,</w:t>
      </w:r>
      <w:r w:rsidR="0012095C" w:rsidRPr="006772CD">
        <w:t xml:space="preserve"> </w:t>
      </w:r>
      <w:r w:rsidR="00A51382">
        <w:t xml:space="preserve">beyond the funding held by the Council’s </w:t>
      </w:r>
      <w:r w:rsidR="0012095C" w:rsidRPr="006772CD">
        <w:t>Communities and Third Sector</w:t>
      </w:r>
      <w:r w:rsidR="00A51382">
        <w:t xml:space="preserve"> team.</w:t>
      </w:r>
    </w:p>
    <w:p w:rsidR="0054354D" w:rsidRDefault="0054354D" w:rsidP="00701538">
      <w:pPr>
        <w:rPr>
          <w:b/>
        </w:rPr>
      </w:pPr>
    </w:p>
    <w:p w:rsidR="00701538" w:rsidRPr="00701538" w:rsidRDefault="00A51382" w:rsidP="00701538">
      <w:r>
        <w:rPr>
          <w:b/>
        </w:rPr>
        <w:t xml:space="preserve">2.4 </w:t>
      </w:r>
      <w:r w:rsidR="00701538" w:rsidRPr="00701538">
        <w:rPr>
          <w:b/>
        </w:rPr>
        <w:t>Option D:</w:t>
      </w:r>
      <w:r w:rsidR="00701538" w:rsidRPr="00701538">
        <w:t xml:space="preserve"> Like Option C but with a specific budget devolved to each partnership.</w:t>
      </w:r>
    </w:p>
    <w:p w:rsidR="00DB54B5" w:rsidRDefault="0012095C" w:rsidP="0012095C">
      <w:r w:rsidRPr="004B701F">
        <w:rPr>
          <w:b/>
        </w:rPr>
        <w:t>Strengths</w:t>
      </w:r>
      <w:r w:rsidR="00DB54B5">
        <w:rPr>
          <w:b/>
        </w:rPr>
        <w:t xml:space="preserve">: </w:t>
      </w:r>
      <w:r w:rsidR="00DB54B5">
        <w:t xml:space="preserve">As with </w:t>
      </w:r>
      <w:r w:rsidR="00581234">
        <w:t xml:space="preserve">responses to </w:t>
      </w:r>
      <w:r w:rsidR="00DB54B5">
        <w:t>O</w:t>
      </w:r>
      <w:r>
        <w:t>ption C</w:t>
      </w:r>
      <w:r w:rsidR="00DB54B5">
        <w:t>, work</w:t>
      </w:r>
      <w:r w:rsidR="00532943">
        <w:t>ing</w:t>
      </w:r>
      <w:r w:rsidR="00DB54B5">
        <w:t xml:space="preserve"> on a specific iss</w:t>
      </w:r>
      <w:r w:rsidR="00532943">
        <w:t>ue and demonstrating</w:t>
      </w:r>
      <w:r w:rsidR="00DB54B5">
        <w:t xml:space="preserve"> collec</w:t>
      </w:r>
      <w:r w:rsidR="00532943">
        <w:t>tive impact could be exciting.</w:t>
      </w:r>
    </w:p>
    <w:p w:rsidR="00DB54B5" w:rsidRDefault="00DB54B5" w:rsidP="0012095C">
      <w:r>
        <w:rPr>
          <w:b/>
        </w:rPr>
        <w:t>Challenges:</w:t>
      </w:r>
      <w:r w:rsidR="0012095C">
        <w:t xml:space="preserve"> </w:t>
      </w:r>
      <w:r>
        <w:t>S</w:t>
      </w:r>
      <w:r w:rsidR="0012095C">
        <w:t xml:space="preserve">imilar to </w:t>
      </w:r>
      <w:r w:rsidR="00581234">
        <w:t xml:space="preserve">responses to </w:t>
      </w:r>
      <w:r>
        <w:t>Option C. W</w:t>
      </w:r>
      <w:r w:rsidR="0012095C">
        <w:t>ho would choose the priorities</w:t>
      </w:r>
      <w:r w:rsidR="00581234">
        <w:t xml:space="preserve"> on which partnerships would work? Would partnerships be equitable? </w:t>
      </w:r>
      <w:r w:rsidR="0012095C">
        <w:t xml:space="preserve">Would </w:t>
      </w:r>
      <w:r w:rsidR="00581234">
        <w:t xml:space="preserve">time-limited partnerships around chosen topics recreate </w:t>
      </w:r>
      <w:r w:rsidR="0012095C">
        <w:t>the ‘ills’ of short term project funding but on a larger scale</w:t>
      </w:r>
      <w:r w:rsidR="00841426">
        <w:t>?</w:t>
      </w:r>
      <w:r w:rsidR="00532943">
        <w:t xml:space="preserve"> </w:t>
      </w:r>
      <w:r w:rsidR="00532943" w:rsidRPr="00532943">
        <w:t xml:space="preserve">Option D might be less bureaucratic than Option C, but might </w:t>
      </w:r>
      <w:r w:rsidR="00532943">
        <w:t>also be very complex to administer.</w:t>
      </w:r>
    </w:p>
    <w:p w:rsidR="0012095C" w:rsidRDefault="00DB54B5" w:rsidP="0012095C">
      <w:r>
        <w:rPr>
          <w:b/>
        </w:rPr>
        <w:t>Opportunities:</w:t>
      </w:r>
      <w:r w:rsidR="00E27E54">
        <w:rPr>
          <w:b/>
          <w:color w:val="548DD4" w:themeColor="text2" w:themeTint="99"/>
        </w:rPr>
        <w:t xml:space="preserve"> </w:t>
      </w:r>
      <w:r w:rsidR="00581234" w:rsidRPr="00581234">
        <w:t>A combination of options B and D,</w:t>
      </w:r>
      <w:r w:rsidR="00581234" w:rsidRPr="00581234">
        <w:rPr>
          <w:b/>
        </w:rPr>
        <w:t xml:space="preserve"> </w:t>
      </w:r>
      <w:r w:rsidR="0012095C" w:rsidRPr="00581234">
        <w:t xml:space="preserve">balancing </w:t>
      </w:r>
      <w:r w:rsidR="00581234" w:rsidRPr="00581234">
        <w:t>‘</w:t>
      </w:r>
      <w:r w:rsidR="0012095C" w:rsidRPr="00581234">
        <w:t>core</w:t>
      </w:r>
      <w:r w:rsidR="00581234" w:rsidRPr="00581234">
        <w:t>’</w:t>
      </w:r>
      <w:r w:rsidR="0012095C" w:rsidRPr="00581234">
        <w:t xml:space="preserve"> and flexible funding with this kind of partnership approach</w:t>
      </w:r>
      <w:r w:rsidR="00581234" w:rsidRPr="00581234">
        <w:t>, could be beneficial.</w:t>
      </w:r>
    </w:p>
    <w:p w:rsidR="0054354D" w:rsidRDefault="0054354D" w:rsidP="0012095C">
      <w:pPr>
        <w:rPr>
          <w:b/>
        </w:rPr>
      </w:pPr>
    </w:p>
    <w:p w:rsidR="0012095C" w:rsidRPr="00701538" w:rsidRDefault="0054354D" w:rsidP="0012095C">
      <w:pPr>
        <w:rPr>
          <w:b/>
        </w:rPr>
      </w:pPr>
      <w:r>
        <w:rPr>
          <w:b/>
        </w:rPr>
        <w:t xml:space="preserve">2.5 </w:t>
      </w:r>
      <w:r w:rsidR="00701538">
        <w:rPr>
          <w:b/>
        </w:rPr>
        <w:t xml:space="preserve">Alternative </w:t>
      </w:r>
      <w:r w:rsidR="00253597">
        <w:rPr>
          <w:b/>
        </w:rPr>
        <w:t>suggestions</w:t>
      </w:r>
    </w:p>
    <w:p w:rsidR="00A30274" w:rsidRDefault="00745AD2" w:rsidP="0012095C">
      <w:r>
        <w:t>Alternative ideas</w:t>
      </w:r>
      <w:r w:rsidR="006772CD" w:rsidRPr="006772CD">
        <w:t xml:space="preserve"> were submitted</w:t>
      </w:r>
      <w:r w:rsidR="00701538">
        <w:t xml:space="preserve"> by </w:t>
      </w:r>
      <w:r w:rsidR="006772CD" w:rsidRPr="006772CD">
        <w:t xml:space="preserve">Voluntary Action Camden, C4 (Camden Community Centres </w:t>
      </w:r>
      <w:r w:rsidR="000E7747">
        <w:t>Consortium</w:t>
      </w:r>
      <w:r w:rsidR="006772CD" w:rsidRPr="006772CD">
        <w:t>)</w:t>
      </w:r>
      <w:r w:rsidR="00701538">
        <w:t>,</w:t>
      </w:r>
      <w:r w:rsidR="006772CD" w:rsidRPr="006772CD">
        <w:t xml:space="preserve"> individual community centres</w:t>
      </w:r>
      <w:r w:rsidR="00701538">
        <w:t xml:space="preserve"> and others</w:t>
      </w:r>
      <w:r w:rsidR="006772CD" w:rsidRPr="006772CD">
        <w:t xml:space="preserve">. </w:t>
      </w:r>
      <w:r w:rsidR="00B73811">
        <w:t>S</w:t>
      </w:r>
      <w:r w:rsidR="0012095C">
        <w:t>uggest</w:t>
      </w:r>
      <w:r w:rsidR="00B73811">
        <w:t xml:space="preserve">ions included </w:t>
      </w:r>
      <w:r w:rsidR="0012095C">
        <w:t>criteria for funding</w:t>
      </w:r>
      <w:r w:rsidR="00B73811">
        <w:t xml:space="preserve">, such as </w:t>
      </w:r>
      <w:r>
        <w:t xml:space="preserve">VCS organisations </w:t>
      </w:r>
      <w:r w:rsidR="0012095C">
        <w:t xml:space="preserve">managing </w:t>
      </w:r>
      <w:r w:rsidR="00581234">
        <w:t xml:space="preserve">council-owned </w:t>
      </w:r>
      <w:r w:rsidR="0012095C">
        <w:t xml:space="preserve">assets, providing facilities for other organisations and bringing in other </w:t>
      </w:r>
      <w:r w:rsidR="00B73811">
        <w:t>money.</w:t>
      </w:r>
      <w:r w:rsidR="0012095C">
        <w:t xml:space="preserve">  </w:t>
      </w:r>
      <w:r>
        <w:t xml:space="preserve">Some </w:t>
      </w:r>
      <w:r w:rsidR="0012095C">
        <w:t xml:space="preserve">felt that </w:t>
      </w:r>
      <w:r>
        <w:t>small project funding wa</w:t>
      </w:r>
      <w:r w:rsidR="0012095C">
        <w:t xml:space="preserve">s important as a ‘temporary bridge’ to </w:t>
      </w:r>
      <w:r>
        <w:t xml:space="preserve">enable small organisations to become sustainable. </w:t>
      </w:r>
    </w:p>
    <w:p w:rsidR="00A30274" w:rsidRDefault="0012095C" w:rsidP="00A30274">
      <w:pPr>
        <w:rPr>
          <w:b/>
        </w:rPr>
      </w:pPr>
      <w:r>
        <w:t xml:space="preserve">There </w:t>
      </w:r>
      <w:r w:rsidR="0054354D">
        <w:t>were also proposals to r</w:t>
      </w:r>
      <w:r>
        <w:t xml:space="preserve">efocus the </w:t>
      </w:r>
      <w:r w:rsidR="0054354D">
        <w:t xml:space="preserve">Council’s </w:t>
      </w:r>
      <w:r>
        <w:t xml:space="preserve">Communities and Third Sector team to </w:t>
      </w:r>
      <w:r w:rsidR="0054354D">
        <w:t>help make th</w:t>
      </w:r>
      <w:r w:rsidR="00B73811">
        <w:t>e Council more joined-</w:t>
      </w:r>
      <w:r w:rsidR="0054354D">
        <w:t>up in its approach to the VCS and</w:t>
      </w:r>
      <w:r>
        <w:t xml:space="preserve"> </w:t>
      </w:r>
      <w:r w:rsidR="0054354D">
        <w:t>to</w:t>
      </w:r>
      <w:r w:rsidR="0089646E">
        <w:t xml:space="preserve"> help</w:t>
      </w:r>
      <w:r w:rsidR="0054354D">
        <w:t xml:space="preserve"> </w:t>
      </w:r>
      <w:r w:rsidR="00B224E0">
        <w:t>improve</w:t>
      </w:r>
      <w:r w:rsidR="0054354D">
        <w:t xml:space="preserve"> </w:t>
      </w:r>
      <w:r w:rsidR="0054354D" w:rsidRPr="0054354D">
        <w:t xml:space="preserve">Council commissioning </w:t>
      </w:r>
      <w:r w:rsidR="0054354D" w:rsidRPr="0054354D">
        <w:lastRenderedPageBreak/>
        <w:t>and procurement</w:t>
      </w:r>
      <w:r w:rsidR="00B224E0">
        <w:t>. For example, to</w:t>
      </w:r>
      <w:r w:rsidR="00A30274">
        <w:t xml:space="preserve"> </w:t>
      </w:r>
      <w:r w:rsidR="00B224E0">
        <w:t xml:space="preserve">make commissioning </w:t>
      </w:r>
      <w:r w:rsidR="00A30274">
        <w:t>more VCS</w:t>
      </w:r>
      <w:r w:rsidR="00B224E0">
        <w:t xml:space="preserve">-friendly and take more account of social value. </w:t>
      </w:r>
      <w:r w:rsidR="00A30274">
        <w:t>S</w:t>
      </w:r>
      <w:r w:rsidR="00A30274" w:rsidRPr="00A30274">
        <w:t>uggestion</w:t>
      </w:r>
      <w:r w:rsidR="00A30274">
        <w:t xml:space="preserve">s </w:t>
      </w:r>
      <w:r w:rsidR="00253597">
        <w:t xml:space="preserve">to improve commissioning </w:t>
      </w:r>
      <w:r w:rsidR="00A30274">
        <w:t>included giving</w:t>
      </w:r>
      <w:r w:rsidR="00A30274" w:rsidRPr="00A30274">
        <w:t xml:space="preserve"> </w:t>
      </w:r>
      <w:r w:rsidR="00B224E0">
        <w:t xml:space="preserve">preference to </w:t>
      </w:r>
      <w:r w:rsidR="00A30274" w:rsidRPr="00A30274">
        <w:t>local providers</w:t>
      </w:r>
      <w:r w:rsidR="00A30274">
        <w:t>, giving</w:t>
      </w:r>
      <w:r w:rsidR="00B224E0">
        <w:t xml:space="preserve"> the VCS </w:t>
      </w:r>
      <w:r w:rsidR="00A30274" w:rsidRPr="00A30274">
        <w:t>information on tender</w:t>
      </w:r>
      <w:r w:rsidR="00A30274">
        <w:t xml:space="preserve">s early on </w:t>
      </w:r>
      <w:r w:rsidR="00A30274" w:rsidRPr="00A30274">
        <w:t xml:space="preserve">so that </w:t>
      </w:r>
      <w:r w:rsidR="00A30274">
        <w:t>the</w:t>
      </w:r>
      <w:r w:rsidR="00B224E0">
        <w:t>y</w:t>
      </w:r>
      <w:r w:rsidR="00A30274" w:rsidRPr="00A30274">
        <w:t xml:space="preserve"> </w:t>
      </w:r>
      <w:r w:rsidR="00A30274">
        <w:t xml:space="preserve">can help identify priority needs, and </w:t>
      </w:r>
      <w:r w:rsidR="00B73811">
        <w:t xml:space="preserve">making </w:t>
      </w:r>
      <w:r w:rsidR="00A30274">
        <w:t>tender</w:t>
      </w:r>
      <w:r w:rsidR="00B224E0">
        <w:t>s</w:t>
      </w:r>
      <w:r w:rsidR="00A30274" w:rsidRPr="00A30274">
        <w:t xml:space="preserve"> </w:t>
      </w:r>
      <w:r w:rsidR="00A30274">
        <w:t xml:space="preserve">specify whether </w:t>
      </w:r>
      <w:r w:rsidR="00A30274" w:rsidRPr="00A30274">
        <w:t xml:space="preserve">TUPE </w:t>
      </w:r>
      <w:r w:rsidR="00A30274">
        <w:t xml:space="preserve">applies, to </w:t>
      </w:r>
      <w:r w:rsidR="00B73811">
        <w:t xml:space="preserve">avoid the </w:t>
      </w:r>
      <w:r w:rsidR="00A30274">
        <w:t xml:space="preserve">VCS </w:t>
      </w:r>
      <w:r w:rsidR="00B73811">
        <w:t>wasting time on applications.</w:t>
      </w:r>
    </w:p>
    <w:p w:rsidR="0012095C" w:rsidRDefault="00253597" w:rsidP="0012095C">
      <w:r w:rsidRPr="00811BEB">
        <w:t>Suggestions regarding a p</w:t>
      </w:r>
      <w:r w:rsidR="00811BEB">
        <w:t xml:space="preserve">ossible </w:t>
      </w:r>
      <w:r w:rsidRPr="00811BEB">
        <w:t>‘Revolving Fund’</w:t>
      </w:r>
      <w:r w:rsidR="00811BEB" w:rsidRPr="00811BEB">
        <w:t xml:space="preserve"> to help organisations grow included that it would only be of use to </w:t>
      </w:r>
      <w:r w:rsidRPr="00811BEB">
        <w:t xml:space="preserve">organisations </w:t>
      </w:r>
      <w:r w:rsidR="00811BEB">
        <w:t>who were large enough to easily pay back t</w:t>
      </w:r>
      <w:r w:rsidRPr="00811BEB">
        <w:t>he loan</w:t>
      </w:r>
      <w:r w:rsidR="00811BEB">
        <w:t xml:space="preserve"> or had a reliable income-generating model. </w:t>
      </w:r>
      <w:r w:rsidR="00A30274">
        <w:t>S</w:t>
      </w:r>
      <w:r w:rsidR="00811BEB">
        <w:t>ome s</w:t>
      </w:r>
      <w:r w:rsidR="0054354D">
        <w:t xml:space="preserve">uggestions also </w:t>
      </w:r>
      <w:r w:rsidR="0012095C">
        <w:t xml:space="preserve">focused on the </w:t>
      </w:r>
      <w:r w:rsidR="0054354D">
        <w:t xml:space="preserve">engagement </w:t>
      </w:r>
      <w:r w:rsidR="0089646E">
        <w:t xml:space="preserve">and </w:t>
      </w:r>
      <w:r w:rsidR="0012095C">
        <w:t>process</w:t>
      </w:r>
      <w:r w:rsidR="0054354D">
        <w:t xml:space="preserve">, for example proposing </w:t>
      </w:r>
      <w:r w:rsidR="0012095C">
        <w:t xml:space="preserve">that a cross-sector group meet to discuss the </w:t>
      </w:r>
      <w:r w:rsidR="0054354D">
        <w:t xml:space="preserve">synthesised proposal which will </w:t>
      </w:r>
      <w:r w:rsidR="0089646E">
        <w:t xml:space="preserve">be published for consultation at the end of </w:t>
      </w:r>
      <w:r w:rsidR="0054354D">
        <w:t>September.</w:t>
      </w:r>
    </w:p>
    <w:p w:rsidR="0012095C" w:rsidRDefault="0012095C">
      <w:pPr>
        <w:rPr>
          <w:b/>
        </w:rPr>
      </w:pPr>
    </w:p>
    <w:p w:rsidR="004A0920" w:rsidRPr="00913C8A" w:rsidRDefault="0054354D">
      <w:pPr>
        <w:rPr>
          <w:b/>
        </w:rPr>
      </w:pPr>
      <w:r>
        <w:rPr>
          <w:b/>
        </w:rPr>
        <w:t xml:space="preserve">3. </w:t>
      </w:r>
      <w:r w:rsidR="00423F1D">
        <w:rPr>
          <w:b/>
        </w:rPr>
        <w:t>Other s</w:t>
      </w:r>
      <w:r w:rsidR="001B7331">
        <w:rPr>
          <w:b/>
        </w:rPr>
        <w:t>trong</w:t>
      </w:r>
      <w:r w:rsidR="004A0920" w:rsidRPr="00913C8A">
        <w:rPr>
          <w:b/>
        </w:rPr>
        <w:t xml:space="preserve"> themes </w:t>
      </w:r>
      <w:r w:rsidR="001B7331">
        <w:rPr>
          <w:b/>
        </w:rPr>
        <w:t>in the feedback</w:t>
      </w:r>
      <w:r w:rsidR="0089646E">
        <w:rPr>
          <w:b/>
        </w:rPr>
        <w:t xml:space="preserve"> not tied to any particular option</w:t>
      </w:r>
      <w:r w:rsidR="004A0920" w:rsidRPr="00913C8A">
        <w:rPr>
          <w:b/>
        </w:rPr>
        <w:t>:</w:t>
      </w:r>
    </w:p>
    <w:p w:rsidR="000C25E8" w:rsidRPr="00093E52" w:rsidRDefault="00423F1D" w:rsidP="000C25E8">
      <w:pPr>
        <w:spacing w:after="0" w:line="240" w:lineRule="auto"/>
        <w:rPr>
          <w:b/>
        </w:rPr>
      </w:pPr>
      <w:r w:rsidRPr="00093E52">
        <w:rPr>
          <w:b/>
        </w:rPr>
        <w:t xml:space="preserve">3.1 </w:t>
      </w:r>
      <w:r w:rsidR="0089646E" w:rsidRPr="00093E52">
        <w:rPr>
          <w:b/>
        </w:rPr>
        <w:t>We need a</w:t>
      </w:r>
      <w:r w:rsidR="00AC0AB2" w:rsidRPr="00093E52">
        <w:rPr>
          <w:b/>
        </w:rPr>
        <w:t>n a</w:t>
      </w:r>
      <w:r w:rsidR="000C25E8" w:rsidRPr="00093E52">
        <w:rPr>
          <w:b/>
        </w:rPr>
        <w:t xml:space="preserve">pproach that </w:t>
      </w:r>
      <w:r w:rsidR="00AC0AB2" w:rsidRPr="00093E52">
        <w:rPr>
          <w:b/>
        </w:rPr>
        <w:t>f</w:t>
      </w:r>
      <w:r w:rsidR="000C25E8" w:rsidRPr="00093E52">
        <w:rPr>
          <w:b/>
        </w:rPr>
        <w:t>os</w:t>
      </w:r>
      <w:r w:rsidR="00AC0AB2" w:rsidRPr="00093E52">
        <w:rPr>
          <w:b/>
        </w:rPr>
        <w:t>ters flexibility and innovation</w:t>
      </w:r>
    </w:p>
    <w:p w:rsidR="000C25E8" w:rsidRPr="00423F1D" w:rsidRDefault="000C25E8" w:rsidP="000C25E8">
      <w:pPr>
        <w:spacing w:after="0" w:line="240" w:lineRule="auto"/>
        <w:rPr>
          <w:b/>
        </w:rPr>
      </w:pPr>
    </w:p>
    <w:p w:rsidR="00BD54FF" w:rsidRPr="00423F1D" w:rsidRDefault="00423F1D" w:rsidP="000C25E8">
      <w:pPr>
        <w:spacing w:after="0" w:line="240" w:lineRule="auto"/>
      </w:pPr>
      <w:r>
        <w:t xml:space="preserve">People said the Council </w:t>
      </w:r>
      <w:r w:rsidR="00AC0AB2" w:rsidRPr="00423F1D">
        <w:t>need</w:t>
      </w:r>
      <w:r>
        <w:t>s</w:t>
      </w:r>
      <w:r w:rsidR="00AC0AB2" w:rsidRPr="00423F1D">
        <w:t xml:space="preserve"> a mix of funds and approaches to reflect the diversity of the sector.  There was a view that a properly supported sector can cont</w:t>
      </w:r>
      <w:r w:rsidR="0089646E">
        <w:t>ribute to outcomes but needs more clarity from the Council about which outcomes the Council considers to be most important.</w:t>
      </w:r>
    </w:p>
    <w:p w:rsidR="000C25E8" w:rsidRPr="00423F1D" w:rsidRDefault="000C25E8" w:rsidP="000C25E8">
      <w:pPr>
        <w:spacing w:after="0" w:line="240" w:lineRule="auto"/>
        <w:rPr>
          <w:b/>
        </w:rPr>
      </w:pPr>
    </w:p>
    <w:p w:rsidR="00DA1F76" w:rsidRPr="00093E52" w:rsidRDefault="00423F1D">
      <w:pPr>
        <w:rPr>
          <w:b/>
        </w:rPr>
      </w:pPr>
      <w:r w:rsidRPr="00093E52">
        <w:rPr>
          <w:b/>
        </w:rPr>
        <w:t xml:space="preserve">3.2 </w:t>
      </w:r>
      <w:r w:rsidR="00093E52" w:rsidRPr="00093E52">
        <w:rPr>
          <w:b/>
        </w:rPr>
        <w:t>We need a</w:t>
      </w:r>
      <w:r w:rsidR="00AC0AB2" w:rsidRPr="00093E52">
        <w:rPr>
          <w:b/>
        </w:rPr>
        <w:t xml:space="preserve">n approach which values </w:t>
      </w:r>
      <w:r w:rsidR="00093E52" w:rsidRPr="00093E52">
        <w:rPr>
          <w:b/>
        </w:rPr>
        <w:t>‘</w:t>
      </w:r>
      <w:r w:rsidR="004A0920" w:rsidRPr="00093E52">
        <w:rPr>
          <w:b/>
        </w:rPr>
        <w:t>core</w:t>
      </w:r>
      <w:r w:rsidR="00093E52" w:rsidRPr="00093E52">
        <w:rPr>
          <w:b/>
        </w:rPr>
        <w:t>’</w:t>
      </w:r>
      <w:r w:rsidR="004A0920" w:rsidRPr="00093E52">
        <w:rPr>
          <w:b/>
        </w:rPr>
        <w:t xml:space="preserve"> funding</w:t>
      </w:r>
    </w:p>
    <w:p w:rsidR="0083308E" w:rsidRPr="00423F1D" w:rsidRDefault="00AC0AB2">
      <w:r w:rsidRPr="00423F1D">
        <w:t xml:space="preserve">Alongside flexibility and innovation, stability through </w:t>
      </w:r>
      <w:r w:rsidR="00423F1D">
        <w:t>‘</w:t>
      </w:r>
      <w:r w:rsidRPr="00423F1D">
        <w:t>core</w:t>
      </w:r>
      <w:r w:rsidR="00423F1D">
        <w:t>’</w:t>
      </w:r>
      <w:r w:rsidRPr="00423F1D">
        <w:t xml:space="preserve"> funding was seen as probably the most important </w:t>
      </w:r>
      <w:r w:rsidR="00093E52">
        <w:t xml:space="preserve">issue. However this was </w:t>
      </w:r>
      <w:r w:rsidR="00423F1D">
        <w:t xml:space="preserve">mainly </w:t>
      </w:r>
      <w:r w:rsidR="00093E52">
        <w:t xml:space="preserve">said </w:t>
      </w:r>
      <w:r w:rsidRPr="00423F1D">
        <w:t xml:space="preserve">by those already </w:t>
      </w:r>
      <w:r w:rsidR="00423F1D">
        <w:t xml:space="preserve">get such </w:t>
      </w:r>
      <w:r w:rsidRPr="00423F1D">
        <w:t>fun</w:t>
      </w:r>
      <w:r w:rsidR="00093E52">
        <w:t xml:space="preserve">ding, and a lot of </w:t>
      </w:r>
      <w:r w:rsidR="0083308E" w:rsidRPr="00423F1D">
        <w:t xml:space="preserve">concern was raised about </w:t>
      </w:r>
      <w:r w:rsidRPr="00423F1D">
        <w:t xml:space="preserve">the </w:t>
      </w:r>
      <w:r w:rsidR="0083308E" w:rsidRPr="00423F1D">
        <w:t>fairness</w:t>
      </w:r>
      <w:r w:rsidRPr="00423F1D">
        <w:t xml:space="preserve"> of </w:t>
      </w:r>
      <w:r w:rsidR="00423F1D">
        <w:t>how this funding is currently allocated</w:t>
      </w:r>
      <w:r w:rsidR="00351DF3" w:rsidRPr="00423F1D">
        <w:t>.</w:t>
      </w:r>
    </w:p>
    <w:p w:rsidR="00AC0AB2" w:rsidRPr="00281279" w:rsidRDefault="00423F1D" w:rsidP="00AC0AB2">
      <w:pPr>
        <w:rPr>
          <w:b/>
        </w:rPr>
      </w:pPr>
      <w:r w:rsidRPr="00281279">
        <w:rPr>
          <w:b/>
        </w:rPr>
        <w:t xml:space="preserve">3.3 </w:t>
      </w:r>
      <w:r w:rsidR="00093E52" w:rsidRPr="00281279">
        <w:rPr>
          <w:b/>
        </w:rPr>
        <w:t xml:space="preserve">We need an approach </w:t>
      </w:r>
      <w:r w:rsidR="00AC0AB2" w:rsidRPr="00281279">
        <w:rPr>
          <w:b/>
        </w:rPr>
        <w:t xml:space="preserve">based </w:t>
      </w:r>
      <w:r w:rsidR="00093E52" w:rsidRPr="00281279">
        <w:rPr>
          <w:b/>
        </w:rPr>
        <w:t xml:space="preserve">not </w:t>
      </w:r>
      <w:r w:rsidR="00AC0AB2" w:rsidRPr="00281279">
        <w:rPr>
          <w:b/>
        </w:rPr>
        <w:t>on histor</w:t>
      </w:r>
      <w:r w:rsidR="00281279">
        <w:rPr>
          <w:b/>
        </w:rPr>
        <w:t>y</w:t>
      </w:r>
      <w:r w:rsidR="00AC0AB2" w:rsidRPr="00281279">
        <w:rPr>
          <w:b/>
        </w:rPr>
        <w:t xml:space="preserve"> but </w:t>
      </w:r>
      <w:r w:rsidR="00093E52" w:rsidRPr="00281279">
        <w:rPr>
          <w:b/>
        </w:rPr>
        <w:t>on</w:t>
      </w:r>
      <w:r w:rsidR="00AC0AB2" w:rsidRPr="00281279">
        <w:rPr>
          <w:b/>
        </w:rPr>
        <w:t xml:space="preserve"> </w:t>
      </w:r>
      <w:r w:rsidR="00093E52" w:rsidRPr="00281279">
        <w:rPr>
          <w:b/>
        </w:rPr>
        <w:t xml:space="preserve">need, </w:t>
      </w:r>
      <w:r w:rsidR="00AC0AB2" w:rsidRPr="00281279">
        <w:rPr>
          <w:b/>
        </w:rPr>
        <w:t>outcomes and impact</w:t>
      </w:r>
    </w:p>
    <w:p w:rsidR="00351DF3" w:rsidRPr="00423F1D" w:rsidRDefault="00913C8A" w:rsidP="00AC0AB2">
      <w:r w:rsidRPr="00423F1D">
        <w:t xml:space="preserve">Much of the perceived unfairness </w:t>
      </w:r>
      <w:r w:rsidR="00423F1D">
        <w:t xml:space="preserve">in Council funding </w:t>
      </w:r>
      <w:r w:rsidRPr="00423F1D">
        <w:t>was put down to history – for example, re</w:t>
      </w:r>
      <w:r w:rsidR="00423F1D">
        <w:t xml:space="preserve">nt relief tending to be given to the occupiers of a </w:t>
      </w:r>
      <w:r w:rsidRPr="00423F1D">
        <w:t xml:space="preserve">building rather than </w:t>
      </w:r>
      <w:r w:rsidR="00423F1D">
        <w:t xml:space="preserve">being based on </w:t>
      </w:r>
      <w:r w:rsidRPr="00423F1D">
        <w:t xml:space="preserve">need or impact.  </w:t>
      </w:r>
    </w:p>
    <w:p w:rsidR="0083308E" w:rsidRPr="00281279" w:rsidRDefault="00423F1D">
      <w:pPr>
        <w:rPr>
          <w:b/>
        </w:rPr>
      </w:pPr>
      <w:r w:rsidRPr="00281279">
        <w:rPr>
          <w:b/>
        </w:rPr>
        <w:t xml:space="preserve">3.4 </w:t>
      </w:r>
      <w:r w:rsidR="00281279">
        <w:rPr>
          <w:b/>
        </w:rPr>
        <w:t>We need a</w:t>
      </w:r>
      <w:r w:rsidR="00AC0AB2" w:rsidRPr="00281279">
        <w:rPr>
          <w:b/>
        </w:rPr>
        <w:t xml:space="preserve">n approach that </w:t>
      </w:r>
      <w:r w:rsidRPr="00281279">
        <w:rPr>
          <w:b/>
        </w:rPr>
        <w:t xml:space="preserve">makes </w:t>
      </w:r>
      <w:r w:rsidR="0083308E" w:rsidRPr="00281279">
        <w:rPr>
          <w:b/>
        </w:rPr>
        <w:t>space for smaller organisations</w:t>
      </w:r>
      <w:r w:rsidR="00281279">
        <w:rPr>
          <w:b/>
        </w:rPr>
        <w:t xml:space="preserve"> and thematic organisations</w:t>
      </w:r>
    </w:p>
    <w:p w:rsidR="00351DF3" w:rsidRPr="00423F1D" w:rsidRDefault="00423F1D">
      <w:r>
        <w:t xml:space="preserve">A key concern was that </w:t>
      </w:r>
      <w:r w:rsidR="00281279">
        <w:t>‘</w:t>
      </w:r>
      <w:r w:rsidR="00351DF3" w:rsidRPr="00423F1D">
        <w:t>core</w:t>
      </w:r>
      <w:r w:rsidR="00281279">
        <w:t>’</w:t>
      </w:r>
      <w:r w:rsidR="00351DF3" w:rsidRPr="00423F1D">
        <w:t xml:space="preserve"> funding alone (or overly restrictive criteria for</w:t>
      </w:r>
      <w:r w:rsidR="00281279">
        <w:t xml:space="preserve"> it</w:t>
      </w:r>
      <w:r w:rsidR="00351DF3" w:rsidRPr="00423F1D">
        <w:t>) would squeeze out small organisations who haven’t benefit</w:t>
      </w:r>
      <w:r>
        <w:t xml:space="preserve">ted from that funding to date and thematic organisations whose </w:t>
      </w:r>
      <w:r w:rsidR="00351DF3" w:rsidRPr="00423F1D">
        <w:t>funding isn’t linked to a particular building or neighbourhood.</w:t>
      </w:r>
    </w:p>
    <w:p w:rsidR="00423F1D" w:rsidRPr="00281279" w:rsidRDefault="00423F1D">
      <w:pPr>
        <w:rPr>
          <w:b/>
        </w:rPr>
      </w:pPr>
      <w:r w:rsidRPr="00281279">
        <w:rPr>
          <w:b/>
        </w:rPr>
        <w:t xml:space="preserve">3.5 </w:t>
      </w:r>
      <w:r w:rsidR="00281279" w:rsidRPr="00281279">
        <w:rPr>
          <w:b/>
        </w:rPr>
        <w:t>We need an approach that r</w:t>
      </w:r>
      <w:r w:rsidR="000C25E8" w:rsidRPr="00281279">
        <w:rPr>
          <w:b/>
        </w:rPr>
        <w:t xml:space="preserve">ecognises the Council needs to change </w:t>
      </w:r>
      <w:r w:rsidR="00B4067D">
        <w:rPr>
          <w:b/>
        </w:rPr>
        <w:t>too</w:t>
      </w:r>
    </w:p>
    <w:p w:rsidR="003C6AAE" w:rsidRPr="00423F1D" w:rsidRDefault="00913C8A">
      <w:r w:rsidRPr="00423F1D">
        <w:t xml:space="preserve">There </w:t>
      </w:r>
      <w:r w:rsidR="00423F1D">
        <w:t>was</w:t>
      </w:r>
      <w:r w:rsidR="00B4067D">
        <w:t xml:space="preserve"> strong feeling </w:t>
      </w:r>
      <w:r w:rsidRPr="00423F1D">
        <w:t>that while funding arrangements are important, the real opportunity is in changing the w</w:t>
      </w:r>
      <w:r w:rsidR="00423F1D">
        <w:t xml:space="preserve">ay the Council works with local voluntary </w:t>
      </w:r>
      <w:r w:rsidR="00B4067D">
        <w:t xml:space="preserve">organisations. </w:t>
      </w:r>
      <w:r w:rsidR="00A30274">
        <w:t xml:space="preserve">Such as creating </w:t>
      </w:r>
      <w:r w:rsidR="00B4067D">
        <w:t>a</w:t>
      </w:r>
      <w:r w:rsidRPr="00423F1D">
        <w:t xml:space="preserve"> more equal </w:t>
      </w:r>
      <w:r w:rsidR="00A30274">
        <w:t>partnership</w:t>
      </w:r>
      <w:r w:rsidRPr="00423F1D">
        <w:t xml:space="preserve"> </w:t>
      </w:r>
      <w:r w:rsidR="00B4067D">
        <w:t xml:space="preserve">when </w:t>
      </w:r>
      <w:r w:rsidRPr="00423F1D">
        <w:t>identifyi</w:t>
      </w:r>
      <w:r w:rsidR="00A30274">
        <w:t xml:space="preserve">ng need, choosing priorities and delivering solutions. There was also a strong view that the </w:t>
      </w:r>
      <w:r w:rsidRPr="00423F1D">
        <w:t xml:space="preserve">Council </w:t>
      </w:r>
      <w:r w:rsidR="00A30274">
        <w:t xml:space="preserve">has work to do to make </w:t>
      </w:r>
      <w:r w:rsidRPr="00423F1D">
        <w:t xml:space="preserve">the way it commissions </w:t>
      </w:r>
      <w:r w:rsidR="00A30274">
        <w:t xml:space="preserve">more VCS-friendly </w:t>
      </w:r>
      <w:r w:rsidRPr="00423F1D">
        <w:t>(beyond the specific pot of Communities and Third Sector funding).</w:t>
      </w:r>
    </w:p>
    <w:p w:rsidR="006A53C9" w:rsidRPr="000C25E8" w:rsidRDefault="00A30274" w:rsidP="004455EE">
      <w:r>
        <w:t>End</w:t>
      </w:r>
    </w:p>
    <w:sectPr w:rsidR="006A53C9" w:rsidRPr="000C25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BC" w:rsidRDefault="00AB2CBC" w:rsidP="00C7735A">
      <w:pPr>
        <w:spacing w:after="0" w:line="240" w:lineRule="auto"/>
      </w:pPr>
      <w:r>
        <w:separator/>
      </w:r>
    </w:p>
  </w:endnote>
  <w:endnote w:type="continuationSeparator" w:id="0">
    <w:p w:rsidR="00AB2CBC" w:rsidRDefault="00AB2CBC" w:rsidP="00C7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083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CBC" w:rsidRDefault="00AB2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CBC" w:rsidRDefault="00AB2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BC" w:rsidRDefault="00AB2CBC" w:rsidP="00C7735A">
      <w:pPr>
        <w:spacing w:after="0" w:line="240" w:lineRule="auto"/>
      </w:pPr>
      <w:r>
        <w:separator/>
      </w:r>
    </w:p>
  </w:footnote>
  <w:footnote w:type="continuationSeparator" w:id="0">
    <w:p w:rsidR="00AB2CBC" w:rsidRDefault="00AB2CBC" w:rsidP="00C7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A3E"/>
    <w:multiLevelType w:val="hybridMultilevel"/>
    <w:tmpl w:val="67BADA96"/>
    <w:lvl w:ilvl="0" w:tplc="25F0E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0D97"/>
    <w:multiLevelType w:val="hybridMultilevel"/>
    <w:tmpl w:val="0B04D41C"/>
    <w:lvl w:ilvl="0" w:tplc="EEC2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C6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62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AE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8B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1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C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B33F8"/>
    <w:multiLevelType w:val="multilevel"/>
    <w:tmpl w:val="EC0A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161BAF"/>
    <w:multiLevelType w:val="hybridMultilevel"/>
    <w:tmpl w:val="7AC8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21FE"/>
    <w:multiLevelType w:val="hybridMultilevel"/>
    <w:tmpl w:val="6F1C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D0862"/>
    <w:multiLevelType w:val="hybridMultilevel"/>
    <w:tmpl w:val="A432C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040F"/>
    <w:multiLevelType w:val="hybridMultilevel"/>
    <w:tmpl w:val="CD54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2A99"/>
    <w:multiLevelType w:val="hybridMultilevel"/>
    <w:tmpl w:val="EE1A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62506"/>
    <w:multiLevelType w:val="hybridMultilevel"/>
    <w:tmpl w:val="0B04D41C"/>
    <w:lvl w:ilvl="0" w:tplc="EEC2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C6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62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AE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8B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1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C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12099"/>
    <w:multiLevelType w:val="hybridMultilevel"/>
    <w:tmpl w:val="A240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5B6"/>
    <w:multiLevelType w:val="hybridMultilevel"/>
    <w:tmpl w:val="9562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3FE3"/>
    <w:multiLevelType w:val="hybridMultilevel"/>
    <w:tmpl w:val="734C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E09B0"/>
    <w:multiLevelType w:val="hybridMultilevel"/>
    <w:tmpl w:val="12745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00EF5"/>
    <w:multiLevelType w:val="hybridMultilevel"/>
    <w:tmpl w:val="7ABE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840BF"/>
    <w:multiLevelType w:val="hybridMultilevel"/>
    <w:tmpl w:val="619ACC36"/>
    <w:lvl w:ilvl="0" w:tplc="4FDC1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B5A2B"/>
    <w:multiLevelType w:val="hybridMultilevel"/>
    <w:tmpl w:val="E648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F0626"/>
    <w:multiLevelType w:val="hybridMultilevel"/>
    <w:tmpl w:val="9C08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01B7"/>
    <w:multiLevelType w:val="hybridMultilevel"/>
    <w:tmpl w:val="ACD27C48"/>
    <w:lvl w:ilvl="0" w:tplc="603A1C6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16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EF"/>
    <w:rsid w:val="000739E9"/>
    <w:rsid w:val="00082644"/>
    <w:rsid w:val="00093E52"/>
    <w:rsid w:val="000A7249"/>
    <w:rsid w:val="000B0757"/>
    <w:rsid w:val="000B5FDE"/>
    <w:rsid w:val="000C25E8"/>
    <w:rsid w:val="000E70A4"/>
    <w:rsid w:val="000E7747"/>
    <w:rsid w:val="0012095C"/>
    <w:rsid w:val="001377D1"/>
    <w:rsid w:val="001423A9"/>
    <w:rsid w:val="001575BF"/>
    <w:rsid w:val="00171CD7"/>
    <w:rsid w:val="001A7228"/>
    <w:rsid w:val="001B7331"/>
    <w:rsid w:val="001E425F"/>
    <w:rsid w:val="002350AD"/>
    <w:rsid w:val="002438E0"/>
    <w:rsid w:val="00247F09"/>
    <w:rsid w:val="00253597"/>
    <w:rsid w:val="00281279"/>
    <w:rsid w:val="002D116D"/>
    <w:rsid w:val="002D3A04"/>
    <w:rsid w:val="002E1C82"/>
    <w:rsid w:val="003039A3"/>
    <w:rsid w:val="003074CB"/>
    <w:rsid w:val="00331558"/>
    <w:rsid w:val="00351DF3"/>
    <w:rsid w:val="003644AC"/>
    <w:rsid w:val="003C3BB8"/>
    <w:rsid w:val="003C6AAE"/>
    <w:rsid w:val="00423F1D"/>
    <w:rsid w:val="004455EE"/>
    <w:rsid w:val="00470B9F"/>
    <w:rsid w:val="004A0920"/>
    <w:rsid w:val="004B701F"/>
    <w:rsid w:val="004D03B0"/>
    <w:rsid w:val="004D5839"/>
    <w:rsid w:val="00510C2F"/>
    <w:rsid w:val="00532943"/>
    <w:rsid w:val="00540411"/>
    <w:rsid w:val="0054354D"/>
    <w:rsid w:val="00551C74"/>
    <w:rsid w:val="00581234"/>
    <w:rsid w:val="005D2156"/>
    <w:rsid w:val="005E40D7"/>
    <w:rsid w:val="00660848"/>
    <w:rsid w:val="00662A71"/>
    <w:rsid w:val="006772CD"/>
    <w:rsid w:val="0069377D"/>
    <w:rsid w:val="006A53C9"/>
    <w:rsid w:val="00701538"/>
    <w:rsid w:val="00715E67"/>
    <w:rsid w:val="00745AD2"/>
    <w:rsid w:val="0075513B"/>
    <w:rsid w:val="007600E8"/>
    <w:rsid w:val="00767A15"/>
    <w:rsid w:val="00780119"/>
    <w:rsid w:val="007C72D3"/>
    <w:rsid w:val="007F0323"/>
    <w:rsid w:val="00811BEB"/>
    <w:rsid w:val="0083308E"/>
    <w:rsid w:val="00841426"/>
    <w:rsid w:val="00843723"/>
    <w:rsid w:val="0089646E"/>
    <w:rsid w:val="008A495E"/>
    <w:rsid w:val="00913C8A"/>
    <w:rsid w:val="009C1F7B"/>
    <w:rsid w:val="009D041D"/>
    <w:rsid w:val="00A201A3"/>
    <w:rsid w:val="00A26DFC"/>
    <w:rsid w:val="00A30274"/>
    <w:rsid w:val="00A51382"/>
    <w:rsid w:val="00AA63B2"/>
    <w:rsid w:val="00AB2CBC"/>
    <w:rsid w:val="00AC0AB2"/>
    <w:rsid w:val="00AD4B79"/>
    <w:rsid w:val="00B002D1"/>
    <w:rsid w:val="00B057EF"/>
    <w:rsid w:val="00B11191"/>
    <w:rsid w:val="00B224E0"/>
    <w:rsid w:val="00B4067D"/>
    <w:rsid w:val="00B53D25"/>
    <w:rsid w:val="00B73811"/>
    <w:rsid w:val="00BC1E64"/>
    <w:rsid w:val="00BD54FF"/>
    <w:rsid w:val="00C2123C"/>
    <w:rsid w:val="00C30A77"/>
    <w:rsid w:val="00C7735A"/>
    <w:rsid w:val="00CE098E"/>
    <w:rsid w:val="00D401A6"/>
    <w:rsid w:val="00D81705"/>
    <w:rsid w:val="00DA1F76"/>
    <w:rsid w:val="00DB54B5"/>
    <w:rsid w:val="00E023F7"/>
    <w:rsid w:val="00E27E54"/>
    <w:rsid w:val="00E37531"/>
    <w:rsid w:val="00E473BE"/>
    <w:rsid w:val="00EC671F"/>
    <w:rsid w:val="00F11543"/>
    <w:rsid w:val="00F93DC6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5A"/>
  </w:style>
  <w:style w:type="paragraph" w:styleId="Footer">
    <w:name w:val="footer"/>
    <w:basedOn w:val="Normal"/>
    <w:link w:val="FooterChar"/>
    <w:uiPriority w:val="99"/>
    <w:unhideWhenUsed/>
    <w:rsid w:val="00C7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5A"/>
  </w:style>
  <w:style w:type="character" w:styleId="FollowedHyperlink">
    <w:name w:val="FollowedHyperlink"/>
    <w:basedOn w:val="DefaultParagraphFont"/>
    <w:uiPriority w:val="99"/>
    <w:semiHidden/>
    <w:unhideWhenUsed/>
    <w:rsid w:val="00137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5A"/>
  </w:style>
  <w:style w:type="paragraph" w:styleId="Footer">
    <w:name w:val="footer"/>
    <w:basedOn w:val="Normal"/>
    <w:link w:val="FooterChar"/>
    <w:uiPriority w:val="99"/>
    <w:unhideWhenUsed/>
    <w:rsid w:val="00C7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5A"/>
  </w:style>
  <w:style w:type="character" w:styleId="FollowedHyperlink">
    <w:name w:val="FollowedHyperlink"/>
    <w:basedOn w:val="DefaultParagraphFont"/>
    <w:uiPriority w:val="99"/>
    <w:semiHidden/>
    <w:unhideWhenUsed/>
    <w:rsid w:val="00137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0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1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0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7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wearecamden.org/culture-environment/camden-council-and-camden-s-voluntary-and-commun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Upton, Matthew</dc:creator>
  <cp:lastModifiedBy>Wilson-Young, Nick</cp:lastModifiedBy>
  <cp:revision>14</cp:revision>
  <dcterms:created xsi:type="dcterms:W3CDTF">2015-08-10T08:03:00Z</dcterms:created>
  <dcterms:modified xsi:type="dcterms:W3CDTF">2015-08-12T12:50:00Z</dcterms:modified>
</cp:coreProperties>
</file>